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AD8" w:rsidRPr="00DB620E" w:rsidRDefault="00EC5AD8">
      <w:pPr>
        <w:rPr>
          <w:sz w:val="24"/>
          <w:szCs w:val="24"/>
        </w:rPr>
      </w:pPr>
    </w:p>
    <w:p w:rsidR="00EC5AD8" w:rsidRPr="00DB620E" w:rsidRDefault="00EC5AD8">
      <w:pPr>
        <w:rPr>
          <w:sz w:val="24"/>
          <w:szCs w:val="24"/>
        </w:rPr>
      </w:pPr>
    </w:p>
    <w:p w:rsidR="00EC5AD8" w:rsidRPr="00DB620E" w:rsidRDefault="00A01B26" w:rsidP="00476BAE">
      <w:pPr>
        <w:jc w:val="center"/>
        <w:rPr>
          <w:b/>
          <w:sz w:val="24"/>
          <w:szCs w:val="24"/>
        </w:rPr>
      </w:pPr>
      <w:r w:rsidRPr="00DB620E">
        <w:rPr>
          <w:b/>
          <w:sz w:val="24"/>
          <w:szCs w:val="24"/>
        </w:rPr>
        <w:t xml:space="preserve">Glamour, Value </w:t>
      </w:r>
      <w:r w:rsidR="00EC5AD8" w:rsidRPr="00DB620E">
        <w:rPr>
          <w:b/>
          <w:sz w:val="24"/>
          <w:szCs w:val="24"/>
        </w:rPr>
        <w:t xml:space="preserve">and </w:t>
      </w:r>
      <w:r w:rsidR="00753E08">
        <w:rPr>
          <w:b/>
          <w:sz w:val="24"/>
          <w:szCs w:val="24"/>
        </w:rPr>
        <w:t xml:space="preserve">the Changing </w:t>
      </w:r>
      <w:r w:rsidRPr="00DB620E">
        <w:rPr>
          <w:b/>
          <w:sz w:val="24"/>
          <w:szCs w:val="24"/>
        </w:rPr>
        <w:t>P/E</w:t>
      </w:r>
    </w:p>
    <w:p w:rsidR="00EC5AD8" w:rsidRPr="00DB620E" w:rsidRDefault="00EC5AD8" w:rsidP="006B2B80">
      <w:pPr>
        <w:spacing w:after="0" w:line="240" w:lineRule="auto"/>
        <w:rPr>
          <w:sz w:val="24"/>
          <w:szCs w:val="24"/>
        </w:rPr>
      </w:pPr>
    </w:p>
    <w:p w:rsidR="00EC5AD8" w:rsidRPr="00DB620E" w:rsidRDefault="00EC5AD8" w:rsidP="006B2B80">
      <w:pPr>
        <w:pStyle w:val="BodyText"/>
        <w:spacing w:after="0" w:line="240" w:lineRule="auto"/>
        <w:jc w:val="center"/>
        <w:rPr>
          <w:sz w:val="24"/>
          <w:szCs w:val="24"/>
        </w:rPr>
      </w:pPr>
    </w:p>
    <w:p w:rsidR="00C14FC2" w:rsidRPr="00DB620E" w:rsidRDefault="00C14FC2" w:rsidP="00C14FC2">
      <w:pPr>
        <w:spacing w:after="0" w:line="240" w:lineRule="auto"/>
        <w:jc w:val="center"/>
        <w:rPr>
          <w:sz w:val="24"/>
          <w:szCs w:val="24"/>
        </w:rPr>
      </w:pPr>
      <w:r w:rsidRPr="00DB620E">
        <w:rPr>
          <w:sz w:val="24"/>
          <w:szCs w:val="24"/>
        </w:rPr>
        <w:t>Keith Anderson</w:t>
      </w:r>
      <w:r w:rsidR="004C0635">
        <w:rPr>
          <w:sz w:val="24"/>
          <w:szCs w:val="24"/>
        </w:rPr>
        <w:t>*</w:t>
      </w:r>
      <w:r w:rsidRPr="00DB620E">
        <w:rPr>
          <w:sz w:val="24"/>
          <w:szCs w:val="24"/>
        </w:rPr>
        <w:t xml:space="preserve"> </w:t>
      </w:r>
    </w:p>
    <w:p w:rsidR="00C14FC2" w:rsidRPr="00DB620E" w:rsidRDefault="00C14FC2" w:rsidP="00C14FC2">
      <w:pPr>
        <w:spacing w:after="0" w:line="240" w:lineRule="auto"/>
        <w:jc w:val="center"/>
        <w:rPr>
          <w:sz w:val="24"/>
          <w:szCs w:val="24"/>
        </w:rPr>
      </w:pPr>
      <w:r w:rsidRPr="00DB620E">
        <w:rPr>
          <w:sz w:val="24"/>
          <w:szCs w:val="24"/>
        </w:rPr>
        <w:t>The York Management School</w:t>
      </w:r>
    </w:p>
    <w:p w:rsidR="00C14FC2" w:rsidRPr="00DB620E" w:rsidRDefault="00EC5AD8" w:rsidP="00C14FC2">
      <w:pPr>
        <w:spacing w:after="0" w:line="240" w:lineRule="auto"/>
        <w:jc w:val="center"/>
        <w:rPr>
          <w:sz w:val="24"/>
          <w:szCs w:val="24"/>
        </w:rPr>
      </w:pPr>
      <w:r w:rsidRPr="00DB620E">
        <w:rPr>
          <w:sz w:val="24"/>
          <w:szCs w:val="24"/>
        </w:rPr>
        <w:t>University of York</w:t>
      </w:r>
    </w:p>
    <w:p w:rsidR="00C14FC2" w:rsidRPr="00DB620E" w:rsidRDefault="00C14FC2" w:rsidP="00C14FC2">
      <w:pPr>
        <w:spacing w:after="0" w:line="240" w:lineRule="auto"/>
        <w:jc w:val="center"/>
        <w:rPr>
          <w:sz w:val="24"/>
          <w:szCs w:val="24"/>
        </w:rPr>
      </w:pPr>
      <w:r w:rsidRPr="00DB620E">
        <w:rPr>
          <w:sz w:val="24"/>
          <w:szCs w:val="24"/>
        </w:rPr>
        <w:t>Freboys Lane</w:t>
      </w:r>
    </w:p>
    <w:p w:rsidR="00C14FC2" w:rsidRPr="00DB620E" w:rsidRDefault="00C14FC2" w:rsidP="00C14FC2">
      <w:pPr>
        <w:spacing w:after="0" w:line="240" w:lineRule="auto"/>
        <w:jc w:val="center"/>
        <w:rPr>
          <w:sz w:val="24"/>
          <w:szCs w:val="24"/>
        </w:rPr>
      </w:pPr>
      <w:r w:rsidRPr="00DB620E">
        <w:rPr>
          <w:sz w:val="24"/>
          <w:szCs w:val="24"/>
        </w:rPr>
        <w:t>Heslington</w:t>
      </w:r>
    </w:p>
    <w:p w:rsidR="00C14FC2" w:rsidRPr="00DB620E" w:rsidRDefault="00C14FC2" w:rsidP="00C14FC2">
      <w:pPr>
        <w:spacing w:after="0" w:line="240" w:lineRule="auto"/>
        <w:jc w:val="center"/>
        <w:rPr>
          <w:sz w:val="24"/>
          <w:szCs w:val="24"/>
        </w:rPr>
      </w:pPr>
      <w:r w:rsidRPr="00DB620E">
        <w:rPr>
          <w:sz w:val="24"/>
          <w:szCs w:val="24"/>
        </w:rPr>
        <w:t>York YO10 5GD</w:t>
      </w:r>
    </w:p>
    <w:p w:rsidR="00C14FC2" w:rsidRPr="00DB620E" w:rsidRDefault="00C14FC2" w:rsidP="00C14FC2">
      <w:pPr>
        <w:spacing w:after="0" w:line="240" w:lineRule="auto"/>
        <w:jc w:val="center"/>
        <w:rPr>
          <w:sz w:val="24"/>
          <w:szCs w:val="24"/>
        </w:rPr>
      </w:pPr>
      <w:r w:rsidRPr="00DB620E">
        <w:rPr>
          <w:sz w:val="24"/>
          <w:szCs w:val="24"/>
        </w:rPr>
        <w:t>Tel. 01904 325001</w:t>
      </w:r>
    </w:p>
    <w:p w:rsidR="00C14FC2" w:rsidRPr="00DB620E" w:rsidRDefault="00C14FC2" w:rsidP="00C14FC2">
      <w:pPr>
        <w:spacing w:after="0" w:line="240" w:lineRule="auto"/>
        <w:jc w:val="center"/>
        <w:rPr>
          <w:sz w:val="24"/>
          <w:szCs w:val="24"/>
        </w:rPr>
      </w:pPr>
      <w:r w:rsidRPr="00DB620E">
        <w:rPr>
          <w:sz w:val="24"/>
          <w:szCs w:val="24"/>
        </w:rPr>
        <w:t>Fax 01904 325021</w:t>
      </w:r>
    </w:p>
    <w:p w:rsidR="00C14FC2" w:rsidRPr="00DB620E" w:rsidRDefault="00C14FC2" w:rsidP="00C14FC2">
      <w:pPr>
        <w:spacing w:after="0" w:line="240" w:lineRule="auto"/>
        <w:jc w:val="center"/>
        <w:rPr>
          <w:sz w:val="24"/>
          <w:szCs w:val="24"/>
        </w:rPr>
      </w:pPr>
      <w:r w:rsidRPr="00DB620E">
        <w:rPr>
          <w:sz w:val="24"/>
          <w:szCs w:val="24"/>
        </w:rPr>
        <w:t>Email keith.anderson@york.ac.uk</w:t>
      </w:r>
    </w:p>
    <w:p w:rsidR="00C14FC2" w:rsidRDefault="00C14FC2" w:rsidP="00C14FC2">
      <w:pPr>
        <w:spacing w:after="0" w:line="240" w:lineRule="auto"/>
        <w:jc w:val="center"/>
        <w:rPr>
          <w:sz w:val="24"/>
          <w:szCs w:val="24"/>
        </w:rPr>
      </w:pPr>
    </w:p>
    <w:p w:rsidR="004C0635" w:rsidRDefault="004C0635" w:rsidP="00C14FC2">
      <w:pPr>
        <w:spacing w:after="0" w:line="240" w:lineRule="auto"/>
        <w:jc w:val="center"/>
        <w:rPr>
          <w:sz w:val="24"/>
          <w:szCs w:val="24"/>
        </w:rPr>
      </w:pPr>
      <w:r>
        <w:rPr>
          <w:sz w:val="24"/>
          <w:szCs w:val="24"/>
        </w:rPr>
        <w:t xml:space="preserve">Tomasz </w:t>
      </w:r>
      <w:proofErr w:type="spellStart"/>
      <w:r>
        <w:rPr>
          <w:sz w:val="24"/>
          <w:szCs w:val="24"/>
        </w:rPr>
        <w:t>Zastawniak</w:t>
      </w:r>
      <w:proofErr w:type="spellEnd"/>
    </w:p>
    <w:p w:rsidR="004C0635" w:rsidRDefault="004C0635" w:rsidP="00C14FC2">
      <w:pPr>
        <w:spacing w:after="0" w:line="240" w:lineRule="auto"/>
        <w:jc w:val="center"/>
        <w:rPr>
          <w:sz w:val="24"/>
          <w:szCs w:val="24"/>
        </w:rPr>
      </w:pPr>
      <w:r>
        <w:rPr>
          <w:sz w:val="24"/>
          <w:szCs w:val="24"/>
        </w:rPr>
        <w:t>Department of Mathematics</w:t>
      </w:r>
    </w:p>
    <w:p w:rsidR="004C0635" w:rsidRPr="004C0635" w:rsidRDefault="004C0635" w:rsidP="004C0635">
      <w:pPr>
        <w:spacing w:after="0" w:line="240" w:lineRule="auto"/>
        <w:jc w:val="center"/>
        <w:rPr>
          <w:sz w:val="24"/>
          <w:szCs w:val="24"/>
        </w:rPr>
      </w:pPr>
      <w:r w:rsidRPr="004C0635">
        <w:rPr>
          <w:sz w:val="24"/>
          <w:szCs w:val="24"/>
        </w:rPr>
        <w:t>University of York</w:t>
      </w:r>
    </w:p>
    <w:p w:rsidR="004C0635" w:rsidRPr="004C0635" w:rsidRDefault="004C0635" w:rsidP="004C0635">
      <w:pPr>
        <w:spacing w:after="0" w:line="240" w:lineRule="auto"/>
        <w:jc w:val="center"/>
        <w:rPr>
          <w:sz w:val="24"/>
          <w:szCs w:val="24"/>
        </w:rPr>
      </w:pPr>
      <w:proofErr w:type="spellStart"/>
      <w:r w:rsidRPr="004C0635">
        <w:rPr>
          <w:sz w:val="24"/>
          <w:szCs w:val="24"/>
        </w:rPr>
        <w:t>Heslington</w:t>
      </w:r>
      <w:proofErr w:type="spellEnd"/>
    </w:p>
    <w:p w:rsidR="004C0635" w:rsidRPr="00DB620E" w:rsidRDefault="004C0635" w:rsidP="004C0635">
      <w:pPr>
        <w:spacing w:after="0" w:line="240" w:lineRule="auto"/>
        <w:jc w:val="center"/>
        <w:rPr>
          <w:sz w:val="24"/>
          <w:szCs w:val="24"/>
        </w:rPr>
      </w:pPr>
      <w:r w:rsidRPr="004C0635">
        <w:rPr>
          <w:sz w:val="24"/>
          <w:szCs w:val="24"/>
        </w:rPr>
        <w:t>York YO10 5DD</w:t>
      </w:r>
    </w:p>
    <w:p w:rsidR="00A01B26" w:rsidRPr="00DB620E" w:rsidRDefault="00A01B26">
      <w:pPr>
        <w:rPr>
          <w:sz w:val="24"/>
          <w:szCs w:val="24"/>
        </w:rPr>
      </w:pPr>
    </w:p>
    <w:p w:rsidR="00EC5AD8" w:rsidRPr="00DB620E" w:rsidRDefault="00EC5AD8">
      <w:pPr>
        <w:rPr>
          <w:b/>
          <w:sz w:val="24"/>
          <w:szCs w:val="24"/>
        </w:rPr>
      </w:pPr>
    </w:p>
    <w:p w:rsidR="00EC5AD8" w:rsidRPr="00DB620E" w:rsidRDefault="00EC5AD8" w:rsidP="005F4D26">
      <w:pPr>
        <w:spacing w:after="0"/>
        <w:rPr>
          <w:b/>
          <w:sz w:val="24"/>
          <w:szCs w:val="24"/>
        </w:rPr>
      </w:pPr>
      <w:r w:rsidRPr="00DB620E">
        <w:rPr>
          <w:b/>
          <w:sz w:val="24"/>
          <w:szCs w:val="24"/>
        </w:rPr>
        <w:t>Abstract</w:t>
      </w:r>
    </w:p>
    <w:p w:rsidR="00A01B26" w:rsidRPr="00DB620E" w:rsidRDefault="00A01B26" w:rsidP="005F4D26">
      <w:pPr>
        <w:jc w:val="both"/>
        <w:rPr>
          <w:sz w:val="24"/>
          <w:szCs w:val="24"/>
        </w:rPr>
      </w:pPr>
      <w:r w:rsidRPr="00DB620E">
        <w:rPr>
          <w:sz w:val="24"/>
          <w:szCs w:val="24"/>
        </w:rPr>
        <w:t xml:space="preserve">The fact that value shares outperform </w:t>
      </w:r>
      <w:r w:rsidR="00AD3510" w:rsidRPr="00DB620E">
        <w:rPr>
          <w:sz w:val="24"/>
          <w:szCs w:val="24"/>
        </w:rPr>
        <w:t xml:space="preserve">glamour </w:t>
      </w:r>
      <w:r w:rsidRPr="00DB620E">
        <w:rPr>
          <w:sz w:val="24"/>
          <w:szCs w:val="24"/>
        </w:rPr>
        <w:t xml:space="preserve">shares in the long term has been known for </w:t>
      </w:r>
      <w:r w:rsidR="004828E1">
        <w:rPr>
          <w:sz w:val="24"/>
          <w:szCs w:val="24"/>
        </w:rPr>
        <w:t xml:space="preserve">over </w:t>
      </w:r>
      <w:r w:rsidRPr="00DB620E">
        <w:rPr>
          <w:sz w:val="24"/>
          <w:szCs w:val="24"/>
        </w:rPr>
        <w:t>50 years</w:t>
      </w:r>
      <w:r w:rsidR="00753E08">
        <w:rPr>
          <w:sz w:val="24"/>
          <w:szCs w:val="24"/>
        </w:rPr>
        <w:t>. The P/E was the first statistic documented to discriminate between the two</w:t>
      </w:r>
      <w:r w:rsidRPr="00DB620E">
        <w:rPr>
          <w:sz w:val="24"/>
          <w:szCs w:val="24"/>
        </w:rPr>
        <w:t>. Believers in efficient markets have not been able to convincingly demonstrate that th</w:t>
      </w:r>
      <w:r w:rsidR="00753E08">
        <w:rPr>
          <w:sz w:val="24"/>
          <w:szCs w:val="24"/>
        </w:rPr>
        <w:t xml:space="preserve">e outperformance of value shares </w:t>
      </w:r>
      <w:r w:rsidRPr="00DB620E">
        <w:rPr>
          <w:sz w:val="24"/>
          <w:szCs w:val="24"/>
        </w:rPr>
        <w:t xml:space="preserve">is due to </w:t>
      </w:r>
      <w:r w:rsidR="00753E08">
        <w:rPr>
          <w:sz w:val="24"/>
          <w:szCs w:val="24"/>
        </w:rPr>
        <w:t xml:space="preserve">their </w:t>
      </w:r>
      <w:r w:rsidRPr="00DB620E">
        <w:rPr>
          <w:sz w:val="24"/>
          <w:szCs w:val="24"/>
        </w:rPr>
        <w:t xml:space="preserve">being fundamentally riskier. Why then do glamour shares remain popular? </w:t>
      </w:r>
      <w:r w:rsidR="00203FC7" w:rsidRPr="00203FC7">
        <w:rPr>
          <w:color w:val="FF0000"/>
          <w:sz w:val="24"/>
          <w:szCs w:val="24"/>
        </w:rPr>
        <w:t xml:space="preserve">Equations derived from options theory </w:t>
      </w:r>
      <w:r w:rsidRPr="00203FC7">
        <w:rPr>
          <w:color w:val="FF0000"/>
          <w:sz w:val="24"/>
          <w:szCs w:val="24"/>
        </w:rPr>
        <w:t>tell us that the</w:t>
      </w:r>
      <w:r w:rsidR="00203FC7" w:rsidRPr="00203FC7">
        <w:rPr>
          <w:color w:val="FF0000"/>
          <w:sz w:val="24"/>
          <w:szCs w:val="24"/>
        </w:rPr>
        <w:t>re</w:t>
      </w:r>
      <w:r w:rsidRPr="00203FC7">
        <w:rPr>
          <w:color w:val="FF0000"/>
          <w:sz w:val="24"/>
          <w:szCs w:val="24"/>
        </w:rPr>
        <w:t xml:space="preserve"> </w:t>
      </w:r>
      <w:r w:rsidR="00203FC7" w:rsidRPr="00203FC7">
        <w:rPr>
          <w:color w:val="FF0000"/>
          <w:sz w:val="24"/>
          <w:szCs w:val="24"/>
        </w:rPr>
        <w:t xml:space="preserve">is no particular reason to expect the </w:t>
      </w:r>
      <w:r w:rsidRPr="00203FC7">
        <w:rPr>
          <w:color w:val="FF0000"/>
          <w:sz w:val="24"/>
          <w:szCs w:val="24"/>
        </w:rPr>
        <w:t xml:space="preserve">evolution of the P/E through time </w:t>
      </w:r>
      <w:r w:rsidR="00203FC7" w:rsidRPr="00203FC7">
        <w:rPr>
          <w:color w:val="FF0000"/>
          <w:sz w:val="24"/>
          <w:szCs w:val="24"/>
        </w:rPr>
        <w:t>to</w:t>
      </w:r>
      <w:r w:rsidRPr="00203FC7">
        <w:rPr>
          <w:color w:val="FF0000"/>
          <w:sz w:val="24"/>
          <w:szCs w:val="24"/>
        </w:rPr>
        <w:t xml:space="preserve"> be similar for </w:t>
      </w:r>
      <w:r w:rsidR="00203FC7" w:rsidRPr="00203FC7">
        <w:rPr>
          <w:color w:val="FF0000"/>
          <w:sz w:val="24"/>
          <w:szCs w:val="24"/>
        </w:rPr>
        <w:t xml:space="preserve">the two </w:t>
      </w:r>
      <w:r w:rsidRPr="00203FC7">
        <w:rPr>
          <w:color w:val="FF0000"/>
          <w:sz w:val="24"/>
          <w:szCs w:val="24"/>
        </w:rPr>
        <w:t xml:space="preserve">groups. </w:t>
      </w:r>
      <w:r w:rsidR="00203FC7">
        <w:rPr>
          <w:sz w:val="24"/>
          <w:szCs w:val="24"/>
        </w:rPr>
        <w:t>U</w:t>
      </w:r>
      <w:r w:rsidRPr="00DB620E">
        <w:rPr>
          <w:sz w:val="24"/>
          <w:szCs w:val="24"/>
        </w:rPr>
        <w:t>sing data for all US stocks since 198</w:t>
      </w:r>
      <w:r w:rsidR="00753E08">
        <w:rPr>
          <w:sz w:val="24"/>
          <w:szCs w:val="24"/>
        </w:rPr>
        <w:t>3</w:t>
      </w:r>
      <w:r w:rsidRPr="00DB620E">
        <w:rPr>
          <w:sz w:val="24"/>
          <w:szCs w:val="24"/>
        </w:rPr>
        <w:t xml:space="preserve">, we </w:t>
      </w:r>
      <w:r w:rsidR="007516B2">
        <w:rPr>
          <w:sz w:val="24"/>
          <w:szCs w:val="24"/>
        </w:rPr>
        <w:t>find</w:t>
      </w:r>
      <w:r w:rsidRPr="00DB620E">
        <w:rPr>
          <w:sz w:val="24"/>
          <w:szCs w:val="24"/>
        </w:rPr>
        <w:t xml:space="preserve"> that glamour shares have a much greater tendency to </w:t>
      </w:r>
      <w:r w:rsidR="00753E08">
        <w:rPr>
          <w:sz w:val="24"/>
          <w:szCs w:val="24"/>
        </w:rPr>
        <w:t>change P/E</w:t>
      </w:r>
      <w:r w:rsidR="007300A0">
        <w:rPr>
          <w:sz w:val="24"/>
          <w:szCs w:val="24"/>
        </w:rPr>
        <w:t xml:space="preserve"> decile</w:t>
      </w:r>
      <w:r w:rsidR="00753E08">
        <w:rPr>
          <w:sz w:val="24"/>
          <w:szCs w:val="24"/>
        </w:rPr>
        <w:t xml:space="preserve"> tha</w:t>
      </w:r>
      <w:r w:rsidRPr="00DB620E">
        <w:rPr>
          <w:sz w:val="24"/>
          <w:szCs w:val="24"/>
        </w:rPr>
        <w:t>n value shares</w:t>
      </w:r>
      <w:r w:rsidR="00753E08">
        <w:rPr>
          <w:sz w:val="24"/>
          <w:szCs w:val="24"/>
        </w:rPr>
        <w:t>.</w:t>
      </w:r>
      <w:r w:rsidRPr="00DB620E">
        <w:rPr>
          <w:sz w:val="24"/>
          <w:szCs w:val="24"/>
        </w:rPr>
        <w:t xml:space="preserve"> </w:t>
      </w:r>
      <w:r w:rsidR="007516B2">
        <w:rPr>
          <w:sz w:val="24"/>
          <w:szCs w:val="24"/>
        </w:rPr>
        <w:t>Glamour investors are underestimating this variability by at least 15%</w:t>
      </w:r>
      <w:r w:rsidRPr="00DB620E">
        <w:rPr>
          <w:sz w:val="24"/>
          <w:szCs w:val="24"/>
        </w:rPr>
        <w:t xml:space="preserve">. </w:t>
      </w:r>
      <w:r w:rsidR="007300A0">
        <w:rPr>
          <w:sz w:val="24"/>
          <w:szCs w:val="24"/>
        </w:rPr>
        <w:t>W</w:t>
      </w:r>
      <w:r w:rsidRPr="00DB620E">
        <w:rPr>
          <w:sz w:val="24"/>
          <w:szCs w:val="24"/>
        </w:rPr>
        <w:t xml:space="preserve">e </w:t>
      </w:r>
      <w:r w:rsidR="00FD26BF" w:rsidRPr="00DB620E">
        <w:rPr>
          <w:sz w:val="24"/>
          <w:szCs w:val="24"/>
        </w:rPr>
        <w:t xml:space="preserve">use TreeAge </w:t>
      </w:r>
      <w:r w:rsidR="007516B2">
        <w:rPr>
          <w:sz w:val="24"/>
          <w:szCs w:val="24"/>
        </w:rPr>
        <w:t xml:space="preserve">decision tree </w:t>
      </w:r>
      <w:r w:rsidR="00753E08">
        <w:rPr>
          <w:sz w:val="24"/>
          <w:szCs w:val="24"/>
        </w:rPr>
        <w:t>so</w:t>
      </w:r>
      <w:r w:rsidR="00FD26BF" w:rsidRPr="00DB620E">
        <w:rPr>
          <w:sz w:val="24"/>
          <w:szCs w:val="24"/>
        </w:rPr>
        <w:t xml:space="preserve">ftware, which has not been applied to problems in finance before, to show that glamour investors cannot rationally expect any windfall as their company’s PE </w:t>
      </w:r>
      <w:r w:rsidR="007300A0">
        <w:rPr>
          <w:sz w:val="24"/>
          <w:szCs w:val="24"/>
        </w:rPr>
        <w:t xml:space="preserve">decile </w:t>
      </w:r>
      <w:r w:rsidR="00FD26BF" w:rsidRPr="00DB620E">
        <w:rPr>
          <w:sz w:val="24"/>
          <w:szCs w:val="24"/>
        </w:rPr>
        <w:t xml:space="preserve">changes whatever their horizon. We </w:t>
      </w:r>
      <w:r w:rsidRPr="00DB620E">
        <w:rPr>
          <w:sz w:val="24"/>
          <w:szCs w:val="24"/>
        </w:rPr>
        <w:t xml:space="preserve">infer that glamour investors are </w:t>
      </w:r>
      <w:r w:rsidR="00FD26BF" w:rsidRPr="00DB620E">
        <w:rPr>
          <w:sz w:val="24"/>
          <w:szCs w:val="24"/>
        </w:rPr>
        <w:t xml:space="preserve">under-estimating the likelihood of change and are </w:t>
      </w:r>
      <w:r w:rsidRPr="00DB620E">
        <w:rPr>
          <w:sz w:val="24"/>
          <w:szCs w:val="24"/>
        </w:rPr>
        <w:t>continually surprised.</w:t>
      </w:r>
    </w:p>
    <w:p w:rsidR="00EC5AD8" w:rsidRPr="00DB620E" w:rsidRDefault="00EC5AD8" w:rsidP="004A7915">
      <w:pPr>
        <w:spacing w:after="0" w:line="240" w:lineRule="auto"/>
        <w:rPr>
          <w:sz w:val="24"/>
          <w:szCs w:val="24"/>
        </w:rPr>
      </w:pPr>
    </w:p>
    <w:p w:rsidR="00DB620E" w:rsidRDefault="00DB620E" w:rsidP="004A7915">
      <w:pPr>
        <w:spacing w:after="0" w:line="240" w:lineRule="auto"/>
        <w:rPr>
          <w:sz w:val="24"/>
          <w:szCs w:val="24"/>
        </w:rPr>
      </w:pPr>
    </w:p>
    <w:p w:rsidR="00B764EC" w:rsidRDefault="00B764EC" w:rsidP="004A7915">
      <w:pPr>
        <w:spacing w:after="0" w:line="240" w:lineRule="auto"/>
        <w:rPr>
          <w:sz w:val="24"/>
          <w:szCs w:val="24"/>
        </w:rPr>
      </w:pPr>
    </w:p>
    <w:p w:rsidR="007516B2" w:rsidRPr="004C0635" w:rsidRDefault="004C0635" w:rsidP="004C0635">
      <w:pPr>
        <w:spacing w:after="0" w:line="240" w:lineRule="auto"/>
        <w:ind w:left="360"/>
        <w:jc w:val="both"/>
        <w:rPr>
          <w:sz w:val="24"/>
          <w:szCs w:val="24"/>
        </w:rPr>
      </w:pPr>
      <w:r w:rsidRPr="004C0635">
        <w:rPr>
          <w:sz w:val="24"/>
          <w:szCs w:val="24"/>
        </w:rPr>
        <w:t>*</w:t>
      </w:r>
      <w:r>
        <w:rPr>
          <w:sz w:val="24"/>
          <w:szCs w:val="24"/>
        </w:rPr>
        <w:t xml:space="preserve"> </w:t>
      </w:r>
      <w:r w:rsidRPr="004C0635">
        <w:rPr>
          <w:sz w:val="24"/>
          <w:szCs w:val="24"/>
        </w:rPr>
        <w:t>Corresponding author</w:t>
      </w:r>
    </w:p>
    <w:p w:rsidR="00DB620E" w:rsidRPr="00DB620E" w:rsidRDefault="00DB620E" w:rsidP="004A7915">
      <w:pPr>
        <w:spacing w:after="0" w:line="240" w:lineRule="auto"/>
        <w:rPr>
          <w:sz w:val="24"/>
          <w:szCs w:val="24"/>
        </w:rPr>
        <w:sectPr w:rsidR="00DB620E" w:rsidRPr="00DB620E" w:rsidSect="0031110A">
          <w:footerReference w:type="even" r:id="rId9"/>
          <w:footerReference w:type="default" r:id="rId10"/>
          <w:pgSz w:w="11906" w:h="16838"/>
          <w:pgMar w:top="1440" w:right="1440" w:bottom="1440" w:left="1440" w:header="708" w:footer="708" w:gutter="0"/>
          <w:cols w:space="708"/>
          <w:titlePg/>
          <w:docGrid w:linePitch="360"/>
        </w:sectPr>
      </w:pPr>
    </w:p>
    <w:p w:rsidR="00EC5AD8" w:rsidRPr="00DB620E" w:rsidRDefault="00EC5AD8" w:rsidP="00AE7B5D">
      <w:pPr>
        <w:spacing w:after="0" w:line="360" w:lineRule="auto"/>
        <w:jc w:val="both"/>
        <w:rPr>
          <w:rFonts w:cs="Calibri"/>
          <w:b/>
          <w:sz w:val="24"/>
          <w:szCs w:val="24"/>
        </w:rPr>
      </w:pPr>
      <w:r w:rsidRPr="00DB620E">
        <w:rPr>
          <w:rFonts w:cs="Calibri"/>
          <w:b/>
          <w:sz w:val="24"/>
          <w:szCs w:val="24"/>
        </w:rPr>
        <w:lastRenderedPageBreak/>
        <w:t>1. Introduction</w:t>
      </w:r>
    </w:p>
    <w:p w:rsidR="007F144F" w:rsidRPr="00DB620E" w:rsidRDefault="00FD26BF" w:rsidP="00AE7B5D">
      <w:pPr>
        <w:spacing w:line="360" w:lineRule="auto"/>
        <w:jc w:val="both"/>
        <w:rPr>
          <w:rFonts w:cs="Calibri"/>
          <w:sz w:val="24"/>
          <w:szCs w:val="24"/>
        </w:rPr>
      </w:pPr>
      <w:r w:rsidRPr="00DB620E">
        <w:rPr>
          <w:rFonts w:cs="Calibri"/>
          <w:sz w:val="24"/>
          <w:szCs w:val="24"/>
        </w:rPr>
        <w:t xml:space="preserve">The fact that portfolios of value shares, as identified by having a low P/E, </w:t>
      </w:r>
      <w:r w:rsidR="007F144F" w:rsidRPr="00DB620E">
        <w:rPr>
          <w:rFonts w:cs="Calibri"/>
          <w:sz w:val="24"/>
          <w:szCs w:val="24"/>
        </w:rPr>
        <w:t xml:space="preserve">give better </w:t>
      </w:r>
      <w:r w:rsidR="00A6748D" w:rsidRPr="00DB620E">
        <w:rPr>
          <w:rFonts w:cs="Calibri"/>
          <w:sz w:val="24"/>
          <w:szCs w:val="24"/>
        </w:rPr>
        <w:t xml:space="preserve">long-run </w:t>
      </w:r>
      <w:r w:rsidRPr="00DB620E">
        <w:rPr>
          <w:rFonts w:cs="Calibri"/>
          <w:sz w:val="24"/>
          <w:szCs w:val="24"/>
        </w:rPr>
        <w:t xml:space="preserve">returns </w:t>
      </w:r>
      <w:r w:rsidR="007F144F" w:rsidRPr="00DB620E">
        <w:rPr>
          <w:rFonts w:cs="Calibri"/>
          <w:sz w:val="24"/>
          <w:szCs w:val="24"/>
        </w:rPr>
        <w:t xml:space="preserve">than portfolios of </w:t>
      </w:r>
      <w:r w:rsidRPr="00DB620E">
        <w:rPr>
          <w:rFonts w:cs="Calibri"/>
          <w:sz w:val="24"/>
          <w:szCs w:val="24"/>
        </w:rPr>
        <w:t>glamour shares</w:t>
      </w:r>
      <w:r w:rsidR="007F144F" w:rsidRPr="00DB620E">
        <w:rPr>
          <w:rFonts w:cs="Calibri"/>
          <w:sz w:val="24"/>
          <w:szCs w:val="24"/>
        </w:rPr>
        <w:t xml:space="preserve"> </w:t>
      </w:r>
      <w:r w:rsidRPr="00DB620E">
        <w:rPr>
          <w:rFonts w:cs="Calibri"/>
          <w:sz w:val="24"/>
          <w:szCs w:val="24"/>
        </w:rPr>
        <w:t>was first documented by Nicholson (1960)</w:t>
      </w:r>
      <w:r w:rsidR="007F144F" w:rsidRPr="00DB620E">
        <w:rPr>
          <w:rFonts w:cs="Calibri"/>
          <w:sz w:val="24"/>
          <w:szCs w:val="24"/>
        </w:rPr>
        <w:t xml:space="preserve"> in a four-page paper in the Financial Analysts Journal</w:t>
      </w:r>
      <w:r w:rsidR="00773611">
        <w:rPr>
          <w:rFonts w:cs="Calibri"/>
          <w:sz w:val="24"/>
          <w:szCs w:val="24"/>
        </w:rPr>
        <w:t xml:space="preserve"> and an expanded paper covering other value/glamour identifiers in 1968. H</w:t>
      </w:r>
      <w:r w:rsidR="007F144F" w:rsidRPr="00DB620E">
        <w:rPr>
          <w:rFonts w:cs="Calibri"/>
          <w:sz w:val="24"/>
          <w:szCs w:val="24"/>
        </w:rPr>
        <w:t xml:space="preserve">is results </w:t>
      </w:r>
      <w:r w:rsidR="00450FA5">
        <w:rPr>
          <w:rFonts w:cs="Calibri"/>
          <w:sz w:val="24"/>
          <w:szCs w:val="24"/>
        </w:rPr>
        <w:t xml:space="preserve">on the P/E </w:t>
      </w:r>
      <w:r w:rsidR="007F144F" w:rsidRPr="00DB620E">
        <w:rPr>
          <w:rFonts w:cs="Calibri"/>
          <w:sz w:val="24"/>
          <w:szCs w:val="24"/>
        </w:rPr>
        <w:t xml:space="preserve">were </w:t>
      </w:r>
      <w:r w:rsidRPr="00DB620E">
        <w:rPr>
          <w:rFonts w:cs="Calibri"/>
          <w:sz w:val="24"/>
          <w:szCs w:val="24"/>
        </w:rPr>
        <w:t xml:space="preserve">first confirmed by a finance academic </w:t>
      </w:r>
      <w:r w:rsidR="007F144F" w:rsidRPr="00DB620E">
        <w:rPr>
          <w:rFonts w:cs="Calibri"/>
          <w:sz w:val="24"/>
          <w:szCs w:val="24"/>
        </w:rPr>
        <w:t>s</w:t>
      </w:r>
      <w:r w:rsidR="00450FA5">
        <w:rPr>
          <w:rFonts w:cs="Calibri"/>
          <w:sz w:val="24"/>
          <w:szCs w:val="24"/>
        </w:rPr>
        <w:t>even years later</w:t>
      </w:r>
      <w:r w:rsidR="007F144F" w:rsidRPr="00DB620E">
        <w:rPr>
          <w:rFonts w:cs="Calibri"/>
          <w:sz w:val="24"/>
          <w:szCs w:val="24"/>
        </w:rPr>
        <w:t xml:space="preserve"> (</w:t>
      </w:r>
      <w:r w:rsidRPr="00DB620E">
        <w:rPr>
          <w:rFonts w:cs="Calibri"/>
          <w:sz w:val="24"/>
          <w:szCs w:val="24"/>
        </w:rPr>
        <w:t>Basu (19</w:t>
      </w:r>
      <w:r w:rsidR="007F144F" w:rsidRPr="00DB620E">
        <w:rPr>
          <w:rFonts w:cs="Calibri"/>
          <w:sz w:val="24"/>
          <w:szCs w:val="24"/>
        </w:rPr>
        <w:t>75</w:t>
      </w:r>
      <w:r w:rsidRPr="00DB620E">
        <w:rPr>
          <w:rFonts w:cs="Calibri"/>
          <w:sz w:val="24"/>
          <w:szCs w:val="24"/>
        </w:rPr>
        <w:t>)</w:t>
      </w:r>
      <w:r w:rsidR="007F144F" w:rsidRPr="00DB620E">
        <w:rPr>
          <w:rFonts w:cs="Calibri"/>
          <w:sz w:val="24"/>
          <w:szCs w:val="24"/>
        </w:rPr>
        <w:t>)</w:t>
      </w:r>
      <w:r w:rsidRPr="00DB620E">
        <w:rPr>
          <w:rFonts w:cs="Calibri"/>
          <w:sz w:val="24"/>
          <w:szCs w:val="24"/>
        </w:rPr>
        <w:t xml:space="preserve">. </w:t>
      </w:r>
      <w:r w:rsidR="007F144F" w:rsidRPr="00DB620E">
        <w:rPr>
          <w:rFonts w:cs="Calibri"/>
          <w:sz w:val="24"/>
          <w:szCs w:val="24"/>
        </w:rPr>
        <w:t xml:space="preserve">The fact has been confirmed by many researchers since, using different datasets in different countries over different time periods. Outside the </w:t>
      </w:r>
      <w:r w:rsidR="00A6748D" w:rsidRPr="00DB620E">
        <w:rPr>
          <w:rFonts w:cs="Calibri"/>
          <w:sz w:val="24"/>
          <w:szCs w:val="24"/>
        </w:rPr>
        <w:t xml:space="preserve">five-year </w:t>
      </w:r>
      <w:r w:rsidR="007F144F" w:rsidRPr="00DB620E">
        <w:rPr>
          <w:rFonts w:cs="Calibri"/>
          <w:sz w:val="24"/>
          <w:szCs w:val="24"/>
        </w:rPr>
        <w:t xml:space="preserve">run-up to the dot-com bubble of 2000, no-one has </w:t>
      </w:r>
      <w:r w:rsidR="00450FA5">
        <w:rPr>
          <w:rFonts w:cs="Calibri"/>
          <w:sz w:val="24"/>
          <w:szCs w:val="24"/>
        </w:rPr>
        <w:t xml:space="preserve">ever </w:t>
      </w:r>
      <w:r w:rsidR="007F144F" w:rsidRPr="00DB620E">
        <w:rPr>
          <w:rFonts w:cs="Calibri"/>
          <w:sz w:val="24"/>
          <w:szCs w:val="24"/>
        </w:rPr>
        <w:t xml:space="preserve">reported that low P/E stocks give </w:t>
      </w:r>
      <w:r w:rsidR="007F144F" w:rsidRPr="00DB620E">
        <w:rPr>
          <w:rFonts w:cs="Calibri"/>
          <w:i/>
          <w:sz w:val="24"/>
          <w:szCs w:val="24"/>
        </w:rPr>
        <w:t>poorer</w:t>
      </w:r>
      <w:r w:rsidR="007F144F" w:rsidRPr="00DB620E">
        <w:rPr>
          <w:rFonts w:cs="Calibri"/>
          <w:sz w:val="24"/>
          <w:szCs w:val="24"/>
        </w:rPr>
        <w:t xml:space="preserve"> returns than high P/E stocks. This calls into question Fama’s (1998) assertion that the so-called value anomalies could largely be explained away as the result of data mining: at least for the P/E, if it</w:t>
      </w:r>
      <w:r w:rsidR="00A6748D" w:rsidRPr="00DB620E">
        <w:rPr>
          <w:rFonts w:cs="Calibri"/>
          <w:sz w:val="24"/>
          <w:szCs w:val="24"/>
        </w:rPr>
        <w:t>s apparent efficacy</w:t>
      </w:r>
      <w:r w:rsidR="007F144F" w:rsidRPr="00DB620E">
        <w:rPr>
          <w:rFonts w:cs="Calibri"/>
          <w:sz w:val="24"/>
          <w:szCs w:val="24"/>
        </w:rPr>
        <w:t xml:space="preserve"> were due to data mining, one would expect at least some result</w:t>
      </w:r>
      <w:r w:rsidR="007044B4" w:rsidRPr="00DB620E">
        <w:rPr>
          <w:rFonts w:cs="Calibri"/>
          <w:sz w:val="24"/>
          <w:szCs w:val="24"/>
        </w:rPr>
        <w:t>s</w:t>
      </w:r>
      <w:r w:rsidR="007F144F" w:rsidRPr="00DB620E">
        <w:rPr>
          <w:rFonts w:cs="Calibri"/>
          <w:sz w:val="24"/>
          <w:szCs w:val="24"/>
        </w:rPr>
        <w:t xml:space="preserve"> </w:t>
      </w:r>
      <w:r w:rsidR="007044B4" w:rsidRPr="00DB620E">
        <w:rPr>
          <w:rFonts w:cs="Calibri"/>
          <w:sz w:val="24"/>
          <w:szCs w:val="24"/>
        </w:rPr>
        <w:t>from th</w:t>
      </w:r>
      <w:r w:rsidR="00F60B88">
        <w:rPr>
          <w:rFonts w:cs="Calibri"/>
          <w:sz w:val="24"/>
          <w:szCs w:val="24"/>
        </w:rPr>
        <w:t>e</w:t>
      </w:r>
      <w:r w:rsidR="007044B4" w:rsidRPr="00DB620E">
        <w:rPr>
          <w:rFonts w:cs="Calibri"/>
          <w:sz w:val="24"/>
          <w:szCs w:val="24"/>
        </w:rPr>
        <w:t xml:space="preserve"> world’s stock markets over decades </w:t>
      </w:r>
      <w:r w:rsidR="007F144F" w:rsidRPr="00DB620E">
        <w:rPr>
          <w:rFonts w:cs="Calibri"/>
          <w:sz w:val="24"/>
          <w:szCs w:val="24"/>
        </w:rPr>
        <w:t>to show the opposite.</w:t>
      </w:r>
    </w:p>
    <w:p w:rsidR="00F70840" w:rsidRPr="00DB620E" w:rsidRDefault="00A6748D" w:rsidP="00773611">
      <w:pPr>
        <w:spacing w:line="360" w:lineRule="auto"/>
        <w:jc w:val="both"/>
        <w:rPr>
          <w:rFonts w:cs="Calibri"/>
          <w:sz w:val="24"/>
          <w:szCs w:val="24"/>
        </w:rPr>
      </w:pPr>
      <w:r w:rsidRPr="00DB620E">
        <w:rPr>
          <w:rFonts w:cs="Calibri"/>
          <w:sz w:val="24"/>
          <w:szCs w:val="24"/>
        </w:rPr>
        <w:t xml:space="preserve">Over the last 50 years </w:t>
      </w:r>
      <w:r w:rsidR="00FD26BF" w:rsidRPr="00DB620E">
        <w:rPr>
          <w:rFonts w:cs="Calibri"/>
          <w:sz w:val="24"/>
          <w:szCs w:val="24"/>
        </w:rPr>
        <w:t>there have been many attempts by believers in market efficiency to explain this outperformance as being due to some sort of extra risk</w:t>
      </w:r>
      <w:r w:rsidR="0055510B" w:rsidRPr="00DB620E">
        <w:rPr>
          <w:rFonts w:cs="Calibri"/>
          <w:sz w:val="24"/>
          <w:szCs w:val="24"/>
        </w:rPr>
        <w:t>. T</w:t>
      </w:r>
      <w:r w:rsidR="00FD26BF" w:rsidRPr="00DB620E">
        <w:rPr>
          <w:rFonts w:cs="Calibri"/>
          <w:sz w:val="24"/>
          <w:szCs w:val="24"/>
        </w:rPr>
        <w:t>here should be no free lunches</w:t>
      </w:r>
      <w:r w:rsidR="0055510B" w:rsidRPr="00DB620E">
        <w:rPr>
          <w:rFonts w:cs="Calibri"/>
          <w:sz w:val="24"/>
          <w:szCs w:val="24"/>
        </w:rPr>
        <w:t xml:space="preserve"> in an efficient market. O</w:t>
      </w:r>
      <w:r w:rsidR="00FD26BF" w:rsidRPr="00DB620E">
        <w:rPr>
          <w:rFonts w:cs="Calibri"/>
          <w:sz w:val="24"/>
          <w:szCs w:val="24"/>
        </w:rPr>
        <w:t>ne set of stocks</w:t>
      </w:r>
      <w:r w:rsidR="0055510B" w:rsidRPr="00DB620E">
        <w:rPr>
          <w:rFonts w:cs="Calibri"/>
          <w:sz w:val="24"/>
          <w:szCs w:val="24"/>
        </w:rPr>
        <w:t xml:space="preserve">, if it can be </w:t>
      </w:r>
      <w:r w:rsidR="007F144F" w:rsidRPr="00DB620E">
        <w:rPr>
          <w:rFonts w:cs="Calibri"/>
          <w:sz w:val="24"/>
          <w:szCs w:val="24"/>
        </w:rPr>
        <w:t xml:space="preserve">distinguished from </w:t>
      </w:r>
      <w:r w:rsidR="00FD26BF" w:rsidRPr="00DB620E">
        <w:rPr>
          <w:rFonts w:cs="Calibri"/>
          <w:sz w:val="24"/>
          <w:szCs w:val="24"/>
        </w:rPr>
        <w:t xml:space="preserve">another set of stocks </w:t>
      </w:r>
      <w:r w:rsidR="0055510B" w:rsidRPr="00DB620E">
        <w:rPr>
          <w:rFonts w:cs="Calibri"/>
          <w:sz w:val="24"/>
          <w:szCs w:val="24"/>
        </w:rPr>
        <w:t xml:space="preserve">by publicly-available data, </w:t>
      </w:r>
      <w:r w:rsidR="007F144F" w:rsidRPr="00DB620E">
        <w:rPr>
          <w:rFonts w:cs="Calibri"/>
          <w:sz w:val="24"/>
          <w:szCs w:val="24"/>
        </w:rPr>
        <w:t xml:space="preserve">should not be able to outperform </w:t>
      </w:r>
      <w:r w:rsidR="0055510B" w:rsidRPr="00DB620E">
        <w:rPr>
          <w:rFonts w:cs="Calibri"/>
          <w:sz w:val="24"/>
          <w:szCs w:val="24"/>
        </w:rPr>
        <w:t>the other set</w:t>
      </w:r>
      <w:r w:rsidR="007F144F" w:rsidRPr="00DB620E">
        <w:rPr>
          <w:rFonts w:cs="Calibri"/>
          <w:sz w:val="24"/>
          <w:szCs w:val="24"/>
        </w:rPr>
        <w:t xml:space="preserve"> u</w:t>
      </w:r>
      <w:r w:rsidR="00FD26BF" w:rsidRPr="00DB620E">
        <w:rPr>
          <w:rFonts w:cs="Calibri"/>
          <w:sz w:val="24"/>
          <w:szCs w:val="24"/>
        </w:rPr>
        <w:t>nless the</w:t>
      </w:r>
      <w:r w:rsidR="0055510B" w:rsidRPr="00DB620E">
        <w:rPr>
          <w:rFonts w:cs="Calibri"/>
          <w:sz w:val="24"/>
          <w:szCs w:val="24"/>
        </w:rPr>
        <w:t xml:space="preserve"> first set is somehow more risky. This view was best outlined by Ball (1978), who approached the whole business as an ‘anomaly’ that only needed the appropriate set of risk factors to explain it. </w:t>
      </w:r>
      <w:r w:rsidR="00D8214E" w:rsidRPr="00DB620E">
        <w:rPr>
          <w:rFonts w:cs="Calibri"/>
          <w:sz w:val="24"/>
          <w:szCs w:val="24"/>
        </w:rPr>
        <w:t xml:space="preserve">Efforts to identify the extra risk that one takes on as one buys a portfolio of low P/E shares </w:t>
      </w:r>
      <w:r w:rsidR="0055510B" w:rsidRPr="00DB620E">
        <w:rPr>
          <w:rFonts w:cs="Calibri"/>
          <w:sz w:val="24"/>
          <w:szCs w:val="24"/>
        </w:rPr>
        <w:t xml:space="preserve">have, </w:t>
      </w:r>
      <w:r w:rsidR="00450FA5">
        <w:rPr>
          <w:rFonts w:cs="Calibri"/>
          <w:sz w:val="24"/>
          <w:szCs w:val="24"/>
        </w:rPr>
        <w:t xml:space="preserve">however, </w:t>
      </w:r>
      <w:r w:rsidR="004B3F4E" w:rsidRPr="00DB620E">
        <w:rPr>
          <w:rFonts w:cs="Calibri"/>
          <w:sz w:val="24"/>
          <w:szCs w:val="24"/>
        </w:rPr>
        <w:t>largely been unsuccessful</w:t>
      </w:r>
      <w:r w:rsidR="00EF2548" w:rsidRPr="00DB620E">
        <w:rPr>
          <w:rFonts w:cs="Calibri"/>
          <w:sz w:val="24"/>
          <w:szCs w:val="24"/>
        </w:rPr>
        <w:t xml:space="preserve">. </w:t>
      </w:r>
      <w:r w:rsidR="002E3310">
        <w:rPr>
          <w:rFonts w:cs="Calibri"/>
          <w:sz w:val="24"/>
          <w:szCs w:val="24"/>
        </w:rPr>
        <w:t>But</w:t>
      </w:r>
      <w:r w:rsidR="00EF2548" w:rsidRPr="00DB620E">
        <w:rPr>
          <w:rFonts w:cs="Calibri"/>
          <w:sz w:val="24"/>
          <w:szCs w:val="24"/>
        </w:rPr>
        <w:t xml:space="preserve"> efforts to prove the </w:t>
      </w:r>
      <w:r w:rsidR="00EF2548" w:rsidRPr="00DB620E">
        <w:rPr>
          <w:rFonts w:cs="Calibri"/>
          <w:i/>
          <w:sz w:val="24"/>
          <w:szCs w:val="24"/>
        </w:rPr>
        <w:t>non</w:t>
      </w:r>
      <w:r w:rsidR="00EF2548" w:rsidRPr="00DB620E">
        <w:rPr>
          <w:rFonts w:cs="Calibri"/>
          <w:sz w:val="24"/>
          <w:szCs w:val="24"/>
        </w:rPr>
        <w:t xml:space="preserve">-existence of the extra risk have been inconclusive too. As Dreman (1998) unkindly put it, trying to prove the non-existence of something is like trying to disprove the 18th century theory of phlogiston. </w:t>
      </w:r>
      <w:r w:rsidR="00F25FBA" w:rsidRPr="00DB620E">
        <w:rPr>
          <w:rFonts w:cs="Calibri"/>
          <w:sz w:val="24"/>
          <w:szCs w:val="24"/>
        </w:rPr>
        <w:t>Fuller, Huberts and Levinson (1993) did their best to disprove Ball's (1978) argument</w:t>
      </w:r>
      <w:r w:rsidR="00F70840" w:rsidRPr="00DB620E">
        <w:rPr>
          <w:rFonts w:cs="Calibri"/>
          <w:sz w:val="24"/>
          <w:szCs w:val="24"/>
        </w:rPr>
        <w:t>,</w:t>
      </w:r>
      <w:r w:rsidR="00F25FBA" w:rsidRPr="00DB620E">
        <w:rPr>
          <w:rFonts w:cs="Calibri"/>
          <w:sz w:val="24"/>
          <w:szCs w:val="24"/>
        </w:rPr>
        <w:t xml:space="preserve"> including a wide variety of possible explanatory factors for the outperformance of low P/E shares</w:t>
      </w:r>
      <w:r w:rsidR="002E3310">
        <w:rPr>
          <w:rFonts w:cs="Calibri"/>
          <w:sz w:val="24"/>
          <w:szCs w:val="24"/>
        </w:rPr>
        <w:t>, but t</w:t>
      </w:r>
      <w:r w:rsidR="00F25FBA" w:rsidRPr="00DB620E">
        <w:rPr>
          <w:rFonts w:cs="Calibri"/>
          <w:sz w:val="24"/>
          <w:szCs w:val="24"/>
        </w:rPr>
        <w:t xml:space="preserve">he factors included in the model did not account for the superior low P/E returns. </w:t>
      </w:r>
    </w:p>
    <w:p w:rsidR="00F70840" w:rsidRPr="00DB620E" w:rsidRDefault="00F70840" w:rsidP="00AE7B5D">
      <w:pPr>
        <w:spacing w:line="360" w:lineRule="auto"/>
        <w:jc w:val="both"/>
        <w:rPr>
          <w:rFonts w:cs="Calibri"/>
          <w:sz w:val="24"/>
          <w:szCs w:val="24"/>
        </w:rPr>
      </w:pPr>
      <w:r w:rsidRPr="00DB620E">
        <w:rPr>
          <w:rFonts w:cs="Calibri"/>
          <w:sz w:val="24"/>
          <w:szCs w:val="24"/>
        </w:rPr>
        <w:t xml:space="preserve">Fama and French’s 1992 and 1993 papers neatly circumvented the problem of the value-glamour split by simply stating that book-to-market was an observed risk factor, since value shares as identified by having a high ratio of book value to market capitalisation give </w:t>
      </w:r>
      <w:r w:rsidR="00773611">
        <w:rPr>
          <w:rFonts w:cs="Calibri"/>
          <w:sz w:val="24"/>
          <w:szCs w:val="24"/>
        </w:rPr>
        <w:t xml:space="preserve">on average </w:t>
      </w:r>
      <w:r w:rsidRPr="00DB620E">
        <w:rPr>
          <w:rFonts w:cs="Calibri"/>
          <w:sz w:val="24"/>
          <w:szCs w:val="24"/>
        </w:rPr>
        <w:t xml:space="preserve">better returns than glamour shares. They did not explore whether this was </w:t>
      </w:r>
      <w:r w:rsidRPr="00DB620E">
        <w:rPr>
          <w:rFonts w:cs="Calibri"/>
          <w:sz w:val="24"/>
          <w:szCs w:val="24"/>
        </w:rPr>
        <w:lastRenderedPageBreak/>
        <w:t>intuitively correct, and indeed intuitively the opposite is the case: an asset-rich firm has something to fall back on in hard times that a firm operating on debt or leased assets does not.</w:t>
      </w:r>
      <w:r w:rsidR="00DA30BB" w:rsidRPr="00DB620E">
        <w:rPr>
          <w:rFonts w:cs="Calibri"/>
          <w:sz w:val="24"/>
          <w:szCs w:val="24"/>
        </w:rPr>
        <w:t xml:space="preserve"> </w:t>
      </w:r>
      <w:r w:rsidR="00773611">
        <w:rPr>
          <w:rFonts w:cs="Calibri"/>
          <w:sz w:val="24"/>
          <w:szCs w:val="24"/>
        </w:rPr>
        <w:t xml:space="preserve">Fama and French </w:t>
      </w:r>
      <w:r w:rsidR="00DA30BB" w:rsidRPr="00DB620E">
        <w:rPr>
          <w:rFonts w:cs="Calibri"/>
          <w:sz w:val="24"/>
          <w:szCs w:val="24"/>
        </w:rPr>
        <w:t>did however dismiss the P/E and dividend yield statistics</w:t>
      </w:r>
      <w:r w:rsidR="00773611">
        <w:rPr>
          <w:rFonts w:cs="Calibri"/>
          <w:sz w:val="24"/>
          <w:szCs w:val="24"/>
        </w:rPr>
        <w:t xml:space="preserve">: they found them to be </w:t>
      </w:r>
      <w:r w:rsidR="00DA30BB" w:rsidRPr="00DB620E">
        <w:rPr>
          <w:rFonts w:cs="Calibri"/>
          <w:sz w:val="24"/>
          <w:szCs w:val="24"/>
        </w:rPr>
        <w:t xml:space="preserve">dominated by book-to-market as an indicator of value shares. Not having been included in </w:t>
      </w:r>
      <w:r w:rsidR="00773611">
        <w:rPr>
          <w:rFonts w:cs="Calibri"/>
          <w:sz w:val="24"/>
          <w:szCs w:val="24"/>
        </w:rPr>
        <w:t xml:space="preserve">Fama and French’s </w:t>
      </w:r>
      <w:r w:rsidR="00DA30BB" w:rsidRPr="00DB620E">
        <w:rPr>
          <w:rFonts w:cs="Calibri"/>
          <w:sz w:val="24"/>
          <w:szCs w:val="24"/>
        </w:rPr>
        <w:t xml:space="preserve">popular </w:t>
      </w:r>
      <w:r w:rsidR="00773611">
        <w:rPr>
          <w:rFonts w:cs="Calibri"/>
          <w:sz w:val="24"/>
          <w:szCs w:val="24"/>
        </w:rPr>
        <w:t xml:space="preserve">three-factor </w:t>
      </w:r>
      <w:r w:rsidR="00DA30BB" w:rsidRPr="00DB620E">
        <w:rPr>
          <w:rFonts w:cs="Calibri"/>
          <w:sz w:val="24"/>
          <w:szCs w:val="24"/>
        </w:rPr>
        <w:t>model has resulted in little research effort being expended on the P/E in recent years.</w:t>
      </w:r>
    </w:p>
    <w:p w:rsidR="004B3F4E" w:rsidRDefault="004B3F4E" w:rsidP="002E3310">
      <w:pPr>
        <w:spacing w:line="360" w:lineRule="auto"/>
        <w:jc w:val="both"/>
        <w:rPr>
          <w:rFonts w:cs="Calibri"/>
          <w:sz w:val="24"/>
          <w:szCs w:val="24"/>
        </w:rPr>
      </w:pPr>
      <w:r w:rsidRPr="00DB620E">
        <w:rPr>
          <w:rFonts w:cs="Calibri"/>
          <w:sz w:val="24"/>
          <w:szCs w:val="24"/>
        </w:rPr>
        <w:t xml:space="preserve">The most well-known paper to counter Fama and French’s proposal was that of Lakonishok, Schleifer and Vishny (1994). </w:t>
      </w:r>
      <w:r w:rsidR="002E3310" w:rsidRPr="002E3310">
        <w:rPr>
          <w:rFonts w:cs="Calibri"/>
          <w:sz w:val="24"/>
          <w:szCs w:val="24"/>
        </w:rPr>
        <w:t xml:space="preserve">They </w:t>
      </w:r>
      <w:r w:rsidR="002E3310">
        <w:rPr>
          <w:rFonts w:cs="Calibri"/>
          <w:sz w:val="24"/>
          <w:szCs w:val="24"/>
        </w:rPr>
        <w:t xml:space="preserve">ascribed </w:t>
      </w:r>
      <w:r w:rsidR="002E3310" w:rsidRPr="002E3310">
        <w:rPr>
          <w:rFonts w:cs="Calibri"/>
          <w:sz w:val="24"/>
          <w:szCs w:val="24"/>
        </w:rPr>
        <w:t xml:space="preserve">the differences in </w:t>
      </w:r>
      <w:r w:rsidR="002E3310">
        <w:rPr>
          <w:rFonts w:cs="Calibri"/>
          <w:sz w:val="24"/>
          <w:szCs w:val="24"/>
        </w:rPr>
        <w:t xml:space="preserve">returns between value and glamour shares to investors </w:t>
      </w:r>
      <w:r w:rsidR="002E3310" w:rsidRPr="002E3310">
        <w:rPr>
          <w:rFonts w:cs="Calibri"/>
          <w:sz w:val="24"/>
          <w:szCs w:val="24"/>
        </w:rPr>
        <w:t>consistently overestimat</w:t>
      </w:r>
      <w:r w:rsidR="002E3310">
        <w:rPr>
          <w:rFonts w:cs="Calibri"/>
          <w:sz w:val="24"/>
          <w:szCs w:val="24"/>
        </w:rPr>
        <w:t xml:space="preserve">ing the future growth of glamour shares. </w:t>
      </w:r>
      <w:r w:rsidR="002E3310" w:rsidRPr="002E3310">
        <w:rPr>
          <w:rFonts w:cs="Calibri"/>
          <w:sz w:val="24"/>
          <w:szCs w:val="24"/>
        </w:rPr>
        <w:t xml:space="preserve">Glamour stocks grew faster for the first couple of years but after that the growth rates of the two groups were </w:t>
      </w:r>
      <w:r w:rsidR="002E3310">
        <w:rPr>
          <w:rFonts w:cs="Calibri"/>
          <w:sz w:val="24"/>
          <w:szCs w:val="24"/>
        </w:rPr>
        <w:t>much</w:t>
      </w:r>
      <w:r w:rsidR="002E3310" w:rsidRPr="002E3310">
        <w:rPr>
          <w:rFonts w:cs="Calibri"/>
          <w:sz w:val="24"/>
          <w:szCs w:val="24"/>
        </w:rPr>
        <w:t xml:space="preserve"> the same. L</w:t>
      </w:r>
      <w:r w:rsidR="002E3310">
        <w:rPr>
          <w:rFonts w:cs="Calibri"/>
          <w:sz w:val="24"/>
          <w:szCs w:val="24"/>
        </w:rPr>
        <w:t xml:space="preserve">akonishok et al. </w:t>
      </w:r>
      <w:r w:rsidR="002E3310" w:rsidRPr="002E3310">
        <w:rPr>
          <w:rFonts w:cs="Calibri"/>
          <w:sz w:val="24"/>
          <w:szCs w:val="24"/>
        </w:rPr>
        <w:t>argued that such strategies provide higher returns because they exploit the sub-optimal behaviour of investors. They found little, if any, support for the view that value strategies were fundamentally riskier. Value stocks outperformed glamour stocks quite consistently and did particularly well in 'bad' states of the world.</w:t>
      </w:r>
    </w:p>
    <w:p w:rsidR="002E3310" w:rsidRPr="00DB620E" w:rsidRDefault="002E3310" w:rsidP="002E3310">
      <w:pPr>
        <w:spacing w:line="360" w:lineRule="auto"/>
        <w:jc w:val="both"/>
        <w:rPr>
          <w:rFonts w:cs="Calibri"/>
          <w:sz w:val="24"/>
          <w:szCs w:val="24"/>
        </w:rPr>
      </w:pPr>
      <w:r>
        <w:rPr>
          <w:rFonts w:cs="Calibri"/>
          <w:sz w:val="24"/>
          <w:szCs w:val="24"/>
        </w:rPr>
        <w:t xml:space="preserve">One paper </w:t>
      </w:r>
      <w:r w:rsidRPr="002E3310">
        <w:rPr>
          <w:rFonts w:cs="Calibri"/>
          <w:sz w:val="24"/>
          <w:szCs w:val="24"/>
        </w:rPr>
        <w:t xml:space="preserve">that </w:t>
      </w:r>
      <w:r>
        <w:rPr>
          <w:rFonts w:cs="Calibri"/>
          <w:sz w:val="24"/>
          <w:szCs w:val="24"/>
        </w:rPr>
        <w:t xml:space="preserve">does </w:t>
      </w:r>
      <w:r w:rsidR="00533F1A">
        <w:rPr>
          <w:rFonts w:cs="Calibri"/>
          <w:sz w:val="24"/>
          <w:szCs w:val="24"/>
        </w:rPr>
        <w:t>offer</w:t>
      </w:r>
      <w:r w:rsidRPr="002E3310">
        <w:rPr>
          <w:rFonts w:cs="Calibri"/>
          <w:sz w:val="24"/>
          <w:szCs w:val="24"/>
        </w:rPr>
        <w:t xml:space="preserve"> a theoretical justification for the increased riskiness of value firms posited by Fama and French is that of Zhang (2005). He developed a model that could in principle explain why value companies are more risky, and hence show better returns, than glamour stocks. The two main features of Zhang’s model were costly reversibility and the countercyclical price of risk. Costly reversibility implies that firms face higher charges in cutting capital than expanding it. The traditional capital theory assumption of costlessly reversible investment rarely holds true in real life, where for example resale prices of capital goods are likely to be well below the prices paid. The second main plank of Zhang’s model was the countercyclicality of the price of risk. The price of risk can be seen as countercyclical by considering the different experiences of value and glamour firms. In bad times, value firms have more unproductive capital and thus perform worse. In good times, glamour firms invest more, whereas value firms do not need to invest at such a high rate because their previously unproductive capital is becoming productive again. This extra inflexibility of value firms across the economic cycle is what generates the extra risk</w:t>
      </w:r>
      <w:r>
        <w:rPr>
          <w:rFonts w:cs="Calibri"/>
          <w:sz w:val="24"/>
          <w:szCs w:val="24"/>
        </w:rPr>
        <w:t xml:space="preserve"> according to Zhang</w:t>
      </w:r>
      <w:r w:rsidRPr="002E3310">
        <w:rPr>
          <w:rFonts w:cs="Calibri"/>
          <w:sz w:val="24"/>
          <w:szCs w:val="24"/>
        </w:rPr>
        <w:t>.</w:t>
      </w:r>
    </w:p>
    <w:p w:rsidR="0019028F" w:rsidRDefault="0019028F" w:rsidP="00AE7B5D">
      <w:pPr>
        <w:spacing w:line="360" w:lineRule="auto"/>
        <w:jc w:val="both"/>
        <w:rPr>
          <w:rFonts w:cs="Calibri"/>
          <w:sz w:val="24"/>
          <w:szCs w:val="24"/>
        </w:rPr>
      </w:pPr>
      <w:r>
        <w:rPr>
          <w:rFonts w:cs="Calibri"/>
          <w:sz w:val="24"/>
          <w:szCs w:val="24"/>
        </w:rPr>
        <w:lastRenderedPageBreak/>
        <w:t>In contrast to the above, t</w:t>
      </w:r>
      <w:r w:rsidR="00E53DEF">
        <w:rPr>
          <w:rFonts w:cs="Calibri"/>
          <w:sz w:val="24"/>
          <w:szCs w:val="24"/>
        </w:rPr>
        <w:t xml:space="preserve">his paper’s </w:t>
      </w:r>
      <w:r>
        <w:rPr>
          <w:rFonts w:cs="Calibri"/>
          <w:sz w:val="24"/>
          <w:szCs w:val="24"/>
        </w:rPr>
        <w:t xml:space="preserve">proposal </w:t>
      </w:r>
      <w:r w:rsidR="00E53DEF">
        <w:rPr>
          <w:rFonts w:cs="Calibri"/>
          <w:sz w:val="24"/>
          <w:szCs w:val="24"/>
        </w:rPr>
        <w:t>is based on the behavioral finance literature</w:t>
      </w:r>
      <w:r>
        <w:rPr>
          <w:rFonts w:cs="Calibri"/>
          <w:sz w:val="24"/>
          <w:szCs w:val="24"/>
        </w:rPr>
        <w:t>:</w:t>
      </w:r>
      <w:r w:rsidR="00E53DEF">
        <w:rPr>
          <w:rFonts w:cs="Calibri"/>
          <w:sz w:val="24"/>
          <w:szCs w:val="24"/>
        </w:rPr>
        <w:t xml:space="preserve"> the differing experiences of glamour and value investors can be explained quite simply by their own bounded rationality. </w:t>
      </w:r>
    </w:p>
    <w:p w:rsidR="00EC6591" w:rsidRPr="0019028F" w:rsidRDefault="00EC6591" w:rsidP="00AE7B5D">
      <w:pPr>
        <w:spacing w:line="360" w:lineRule="auto"/>
        <w:jc w:val="both"/>
        <w:rPr>
          <w:rFonts w:cs="Calibri"/>
          <w:sz w:val="24"/>
          <w:szCs w:val="24"/>
        </w:rPr>
      </w:pPr>
      <w:r>
        <w:rPr>
          <w:rFonts w:cs="Calibri"/>
          <w:sz w:val="24"/>
          <w:szCs w:val="24"/>
        </w:rPr>
        <w:t xml:space="preserve">Anchoring-and-adjustment was first proposed by </w:t>
      </w:r>
      <w:r w:rsidRPr="00533F1A">
        <w:rPr>
          <w:sz w:val="24"/>
        </w:rPr>
        <w:t xml:space="preserve">Tversky and Kahneman (1974). For example, when </w:t>
      </w:r>
      <w:r w:rsidR="00882C77" w:rsidRPr="00533F1A">
        <w:rPr>
          <w:sz w:val="24"/>
        </w:rPr>
        <w:t xml:space="preserve">subjects were </w:t>
      </w:r>
      <w:r w:rsidRPr="00533F1A">
        <w:rPr>
          <w:sz w:val="24"/>
        </w:rPr>
        <w:t xml:space="preserve">asked to estimate the product of </w:t>
      </w:r>
    </w:p>
    <w:p w:rsidR="00EC6591" w:rsidRPr="00533F1A" w:rsidRDefault="00882C77" w:rsidP="00533F1A">
      <w:pPr>
        <w:spacing w:line="360" w:lineRule="auto"/>
        <w:jc w:val="center"/>
        <w:rPr>
          <w:sz w:val="24"/>
        </w:rPr>
      </w:pPr>
      <w:r w:rsidRPr="00533F1A">
        <w:rPr>
          <w:position w:val="-6"/>
          <w:sz w:val="24"/>
        </w:rPr>
        <w:object w:dxaOrig="2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3.5pt" o:ole="">
            <v:imagedata r:id="rId11" o:title=""/>
          </v:shape>
          <o:OLEObject Type="Embed" ProgID="Equation.3" ShapeID="_x0000_i1025" DrawAspect="Content" ObjectID="_1448180037" r:id="rId12"/>
        </w:object>
      </w:r>
    </w:p>
    <w:p w:rsidR="00EC6591" w:rsidRPr="00533F1A" w:rsidRDefault="00EC6591" w:rsidP="00AE7B5D">
      <w:pPr>
        <w:spacing w:line="360" w:lineRule="auto"/>
        <w:jc w:val="both"/>
        <w:rPr>
          <w:sz w:val="24"/>
        </w:rPr>
      </w:pPr>
      <w:r w:rsidRPr="00533F1A">
        <w:rPr>
          <w:sz w:val="24"/>
        </w:rPr>
        <w:t xml:space="preserve">the median estimate was </w:t>
      </w:r>
      <w:r w:rsidR="00882C77" w:rsidRPr="00533F1A">
        <w:rPr>
          <w:sz w:val="24"/>
        </w:rPr>
        <w:t>2,</w:t>
      </w:r>
      <w:r w:rsidRPr="00533F1A">
        <w:rPr>
          <w:sz w:val="24"/>
        </w:rPr>
        <w:t xml:space="preserve">250; but when presented with </w:t>
      </w:r>
    </w:p>
    <w:p w:rsidR="00EC6591" w:rsidRPr="00533F1A" w:rsidRDefault="00882C77" w:rsidP="00533F1A">
      <w:pPr>
        <w:spacing w:line="360" w:lineRule="auto"/>
        <w:jc w:val="center"/>
        <w:rPr>
          <w:sz w:val="24"/>
        </w:rPr>
      </w:pPr>
      <w:r w:rsidRPr="00533F1A">
        <w:rPr>
          <w:position w:val="-6"/>
          <w:sz w:val="24"/>
        </w:rPr>
        <w:object w:dxaOrig="2260" w:dyaOrig="279">
          <v:shape id="_x0000_i1026" type="#_x0000_t75" style="width:113.25pt;height:13.5pt" o:ole="">
            <v:imagedata r:id="rId13" o:title=""/>
          </v:shape>
          <o:OLEObject Type="Embed" ProgID="Equation.3" ShapeID="_x0000_i1026" DrawAspect="Content" ObjectID="_1448180038" r:id="rId14"/>
        </w:object>
      </w:r>
    </w:p>
    <w:p w:rsidR="00805607" w:rsidRDefault="00882C77" w:rsidP="00AE7B5D">
      <w:pPr>
        <w:spacing w:line="360" w:lineRule="auto"/>
        <w:jc w:val="both"/>
        <w:rPr>
          <w:sz w:val="24"/>
        </w:rPr>
      </w:pPr>
      <w:r w:rsidRPr="00533F1A">
        <w:rPr>
          <w:sz w:val="24"/>
        </w:rPr>
        <w:t>the median estimate was 512. The true answer is 43,320.</w:t>
      </w:r>
      <w:r w:rsidR="0019028F">
        <w:rPr>
          <w:sz w:val="24"/>
        </w:rPr>
        <w:t xml:space="preserve"> </w:t>
      </w:r>
      <w:r w:rsidR="00773611">
        <w:rPr>
          <w:sz w:val="24"/>
        </w:rPr>
        <w:t>L</w:t>
      </w:r>
      <w:r w:rsidR="0019028F">
        <w:rPr>
          <w:sz w:val="24"/>
        </w:rPr>
        <w:t>ater work summarised by Kahneman (2012)</w:t>
      </w:r>
      <w:r w:rsidR="00064842">
        <w:rPr>
          <w:sz w:val="24"/>
        </w:rPr>
        <w:t xml:space="preserve"> indicates two separate effects</w:t>
      </w:r>
      <w:r w:rsidR="006028A0">
        <w:rPr>
          <w:sz w:val="24"/>
        </w:rPr>
        <w:t>.</w:t>
      </w:r>
      <w:r w:rsidR="00064842">
        <w:rPr>
          <w:sz w:val="24"/>
        </w:rPr>
        <w:t xml:space="preserve"> </w:t>
      </w:r>
      <w:r w:rsidR="006028A0">
        <w:rPr>
          <w:sz w:val="24"/>
        </w:rPr>
        <w:t xml:space="preserve">Anchoring as adjustment is simple enough: given a question where we are very unsure of the answer, we will grasp at any straw to help us get close. </w:t>
      </w:r>
      <w:r w:rsidR="00773611">
        <w:rPr>
          <w:sz w:val="24"/>
        </w:rPr>
        <w:t>However, t</w:t>
      </w:r>
      <w:r w:rsidR="006028A0">
        <w:rPr>
          <w:sz w:val="24"/>
        </w:rPr>
        <w:t xml:space="preserve">his happens even when the subject can see that the anchor was chosen entirely randomly: </w:t>
      </w:r>
      <w:r w:rsidR="00A33F99">
        <w:rPr>
          <w:sz w:val="24"/>
        </w:rPr>
        <w:t xml:space="preserve">subjects were </w:t>
      </w:r>
      <w:r w:rsidR="00773611">
        <w:rPr>
          <w:sz w:val="24"/>
        </w:rPr>
        <w:t xml:space="preserve">asked to spin </w:t>
      </w:r>
      <w:r w:rsidR="00A33F99">
        <w:rPr>
          <w:sz w:val="24"/>
        </w:rPr>
        <w:t xml:space="preserve">a roulette wheel </w:t>
      </w:r>
      <w:r w:rsidR="00773611">
        <w:rPr>
          <w:sz w:val="24"/>
        </w:rPr>
        <w:t xml:space="preserve">that was </w:t>
      </w:r>
      <w:r w:rsidR="00A33F99">
        <w:rPr>
          <w:sz w:val="24"/>
        </w:rPr>
        <w:t xml:space="preserve">rigged to stop at 10 or 65, then asked to estimate the percentage of African nations in the UN. Those seeing a result </w:t>
      </w:r>
      <w:r w:rsidR="00773611">
        <w:rPr>
          <w:sz w:val="24"/>
        </w:rPr>
        <w:t>of</w:t>
      </w:r>
      <w:r w:rsidR="00A33F99">
        <w:rPr>
          <w:sz w:val="24"/>
        </w:rPr>
        <w:t xml:space="preserve"> 10 guessed 25%; those shown 65 gave a median estimate of 45%.</w:t>
      </w:r>
      <w:r w:rsidR="006028A0">
        <w:rPr>
          <w:sz w:val="24"/>
        </w:rPr>
        <w:t xml:space="preserve"> </w:t>
      </w:r>
    </w:p>
    <w:p w:rsidR="00E53DEF" w:rsidRPr="00533F1A" w:rsidRDefault="00A33F99" w:rsidP="00AE7B5D">
      <w:pPr>
        <w:spacing w:line="360" w:lineRule="auto"/>
        <w:jc w:val="both"/>
        <w:rPr>
          <w:rFonts w:cs="Calibri"/>
          <w:sz w:val="28"/>
          <w:szCs w:val="24"/>
        </w:rPr>
      </w:pPr>
      <w:r>
        <w:rPr>
          <w:sz w:val="24"/>
        </w:rPr>
        <w:t xml:space="preserve">More recently </w:t>
      </w:r>
      <w:r w:rsidR="006028A0">
        <w:rPr>
          <w:sz w:val="24"/>
        </w:rPr>
        <w:t>a priming effect</w:t>
      </w:r>
      <w:r>
        <w:rPr>
          <w:sz w:val="24"/>
        </w:rPr>
        <w:t xml:space="preserve"> has also been demonstrated</w:t>
      </w:r>
      <w:r w:rsidR="006028A0">
        <w:rPr>
          <w:sz w:val="24"/>
        </w:rPr>
        <w:t xml:space="preserve">, where mention of the anchor selectively activates compatible memories. For example, when asked “Is the annual mean temperature in Germany higher or lower than 20C [5C]?”, subjects given the anchor of 20C were better able to recognise flashed-up words associated with summer, such as </w:t>
      </w:r>
      <w:r w:rsidR="006028A0" w:rsidRPr="006028A0">
        <w:rPr>
          <w:i/>
          <w:sz w:val="24"/>
        </w:rPr>
        <w:t>beach</w:t>
      </w:r>
      <w:r w:rsidR="006028A0">
        <w:rPr>
          <w:sz w:val="24"/>
        </w:rPr>
        <w:t xml:space="preserve"> or </w:t>
      </w:r>
      <w:r w:rsidR="006028A0" w:rsidRPr="006028A0">
        <w:rPr>
          <w:i/>
          <w:sz w:val="24"/>
        </w:rPr>
        <w:t>sun</w:t>
      </w:r>
      <w:r w:rsidR="006028A0">
        <w:rPr>
          <w:sz w:val="24"/>
        </w:rPr>
        <w:t xml:space="preserve">. Subjects given 5C were better able to recognise winter-type words such as </w:t>
      </w:r>
      <w:r w:rsidR="006028A0" w:rsidRPr="006028A0">
        <w:rPr>
          <w:i/>
          <w:sz w:val="24"/>
        </w:rPr>
        <w:t>frost</w:t>
      </w:r>
      <w:r w:rsidR="006028A0">
        <w:rPr>
          <w:sz w:val="24"/>
        </w:rPr>
        <w:t xml:space="preserve"> and </w:t>
      </w:r>
      <w:r w:rsidR="006028A0" w:rsidRPr="006028A0">
        <w:rPr>
          <w:i/>
          <w:sz w:val="24"/>
        </w:rPr>
        <w:t>ski</w:t>
      </w:r>
      <w:r w:rsidR="006028A0">
        <w:rPr>
          <w:sz w:val="24"/>
        </w:rPr>
        <w:t>.</w:t>
      </w:r>
    </w:p>
    <w:p w:rsidR="00805607" w:rsidRDefault="00805607" w:rsidP="00AE7B5D">
      <w:pPr>
        <w:spacing w:line="360" w:lineRule="auto"/>
        <w:jc w:val="both"/>
        <w:rPr>
          <w:rFonts w:cs="Calibri"/>
          <w:sz w:val="24"/>
          <w:szCs w:val="24"/>
        </w:rPr>
      </w:pPr>
      <w:r>
        <w:rPr>
          <w:rFonts w:cs="Calibri"/>
          <w:sz w:val="24"/>
          <w:szCs w:val="24"/>
        </w:rPr>
        <w:t xml:space="preserve">The anchoring effect is unusual among psychological phenomena in that it can be accurately measured. For example, visitors at the San Francisco Explorium were asked, “Is the height of the tallest redwood more or less than 1,200 feet [180 feet]?” then “What is your best guess about the height of the tallest redwood?”Those given the high anchor gave median responses of 844 feet; those given the low anchor, 282 feet. </w:t>
      </w:r>
      <w:r w:rsidR="00D66B4F">
        <w:rPr>
          <w:rFonts w:cs="Calibri"/>
          <w:sz w:val="24"/>
          <w:szCs w:val="24"/>
        </w:rPr>
        <w:t xml:space="preserve">The anchoring index </w:t>
      </w:r>
      <w:r w:rsidR="00E14C7F">
        <w:rPr>
          <w:rFonts w:cs="Calibri"/>
          <w:sz w:val="24"/>
          <w:szCs w:val="24"/>
        </w:rPr>
        <w:t>is calculated as the ratio of differences</w:t>
      </w:r>
    </w:p>
    <w:p w:rsidR="00D66B4F" w:rsidRDefault="00E14C7F" w:rsidP="00E14C7F">
      <w:pPr>
        <w:spacing w:line="360" w:lineRule="auto"/>
        <w:rPr>
          <w:rFonts w:cs="Calibri"/>
          <w:sz w:val="24"/>
          <w:szCs w:val="24"/>
        </w:rPr>
      </w:pPr>
      <w:r>
        <w:rPr>
          <w:rFonts w:cs="Calibri"/>
          <w:sz w:val="24"/>
          <w:szCs w:val="24"/>
        </w:rPr>
        <w:tab/>
      </w:r>
      <w:r>
        <w:rPr>
          <w:rFonts w:cs="Calibri"/>
          <w:sz w:val="24"/>
          <w:szCs w:val="24"/>
        </w:rPr>
        <w:tab/>
      </w:r>
      <w:r>
        <w:rPr>
          <w:rFonts w:cs="Calibri"/>
          <w:sz w:val="24"/>
          <w:szCs w:val="24"/>
        </w:rPr>
        <w:tab/>
      </w:r>
      <w:r w:rsidRPr="00E14C7F">
        <w:rPr>
          <w:rFonts w:cs="Calibri"/>
          <w:position w:val="-28"/>
          <w:sz w:val="24"/>
          <w:szCs w:val="24"/>
        </w:rPr>
        <w:object w:dxaOrig="4880" w:dyaOrig="660">
          <v:shape id="_x0000_i1027" type="#_x0000_t75" style="width:243pt;height:33pt" o:ole="">
            <v:imagedata r:id="rId15" o:title=""/>
          </v:shape>
          <o:OLEObject Type="Embed" ProgID="Equation.3" ShapeID="_x0000_i1027" DrawAspect="Content" ObjectID="_1448180039" r:id="rId16"/>
        </w:object>
      </w:r>
      <w:r>
        <w:rPr>
          <w:rFonts w:cs="Calibri"/>
          <w:sz w:val="24"/>
          <w:szCs w:val="24"/>
        </w:rPr>
        <w:tab/>
      </w:r>
      <w:r>
        <w:rPr>
          <w:rFonts w:cs="Calibri"/>
          <w:sz w:val="24"/>
          <w:szCs w:val="24"/>
        </w:rPr>
        <w:tab/>
      </w:r>
      <w:r w:rsidR="004F00F3">
        <w:rPr>
          <w:rFonts w:cs="Calibri"/>
          <w:sz w:val="24"/>
          <w:szCs w:val="24"/>
        </w:rPr>
        <w:tab/>
        <w:t>(</w:t>
      </w:r>
      <w:r>
        <w:rPr>
          <w:rFonts w:cs="Calibri"/>
          <w:sz w:val="24"/>
          <w:szCs w:val="24"/>
        </w:rPr>
        <w:t>1</w:t>
      </w:r>
      <w:r w:rsidR="004F00F3">
        <w:rPr>
          <w:rFonts w:cs="Calibri"/>
          <w:sz w:val="24"/>
          <w:szCs w:val="24"/>
        </w:rPr>
        <w:t>)</w:t>
      </w:r>
    </w:p>
    <w:p w:rsidR="00D66B4F" w:rsidRDefault="00D66B4F" w:rsidP="00AE7B5D">
      <w:pPr>
        <w:spacing w:line="360" w:lineRule="auto"/>
        <w:jc w:val="both"/>
        <w:rPr>
          <w:rFonts w:cs="Calibri"/>
          <w:sz w:val="24"/>
          <w:szCs w:val="24"/>
        </w:rPr>
      </w:pPr>
      <w:r>
        <w:rPr>
          <w:rFonts w:cs="Calibri"/>
          <w:sz w:val="24"/>
          <w:szCs w:val="24"/>
        </w:rPr>
        <w:lastRenderedPageBreak/>
        <w:t xml:space="preserve">When </w:t>
      </w:r>
      <w:r w:rsidR="00E14C7F">
        <w:rPr>
          <w:rFonts w:cs="Calibri"/>
          <w:sz w:val="24"/>
          <w:szCs w:val="24"/>
        </w:rPr>
        <w:t>estimates</w:t>
      </w:r>
      <w:r>
        <w:rPr>
          <w:rFonts w:cs="Calibri"/>
          <w:sz w:val="24"/>
          <w:szCs w:val="24"/>
        </w:rPr>
        <w:t xml:space="preserve"> are based solely on the anchors provided, the anchoring index is 100%, and when the anchors have no effect on the guesses the index is zero.</w:t>
      </w:r>
    </w:p>
    <w:p w:rsidR="0019028F" w:rsidRDefault="0019028F" w:rsidP="00AE7B5D">
      <w:pPr>
        <w:spacing w:line="360" w:lineRule="auto"/>
        <w:jc w:val="both"/>
        <w:rPr>
          <w:rFonts w:cs="Calibri"/>
          <w:sz w:val="24"/>
          <w:szCs w:val="24"/>
        </w:rPr>
      </w:pPr>
      <w:r>
        <w:rPr>
          <w:rFonts w:cs="Calibri"/>
          <w:sz w:val="24"/>
          <w:szCs w:val="24"/>
        </w:rPr>
        <w:t>In the case of the P/E, we propose that investors anchor on the P/E that a share currently has when they first consider it as an investment, and assume it will continue into the future with much the same P/E. They fail to adjust future expectations sufficiently according to mean reversion: a share with a very high P/E due to transient reasons is likely to move back towards the average market P/E next year. Mean reversion in profitability is a powerful force, being estimated by Fama and French (2000) at 38% per annum</w:t>
      </w:r>
      <w:r w:rsidR="00E14C7F">
        <w:rPr>
          <w:rFonts w:cs="Calibri"/>
          <w:sz w:val="24"/>
          <w:szCs w:val="24"/>
        </w:rPr>
        <w:t>. This</w:t>
      </w:r>
      <w:r>
        <w:rPr>
          <w:rFonts w:cs="Calibri"/>
          <w:sz w:val="24"/>
          <w:szCs w:val="24"/>
        </w:rPr>
        <w:t xml:space="preserve"> carries over into </w:t>
      </w:r>
      <w:r w:rsidR="00E14C7F">
        <w:rPr>
          <w:rFonts w:cs="Calibri"/>
          <w:sz w:val="24"/>
          <w:szCs w:val="24"/>
        </w:rPr>
        <w:t xml:space="preserve">mean reversion in </w:t>
      </w:r>
      <w:r>
        <w:rPr>
          <w:rFonts w:cs="Calibri"/>
          <w:sz w:val="24"/>
          <w:szCs w:val="24"/>
        </w:rPr>
        <w:t xml:space="preserve">the </w:t>
      </w:r>
      <w:r w:rsidR="00E14C7F">
        <w:rPr>
          <w:rFonts w:cs="Calibri"/>
          <w:sz w:val="24"/>
          <w:szCs w:val="24"/>
        </w:rPr>
        <w:t xml:space="preserve">reported </w:t>
      </w:r>
      <w:r>
        <w:rPr>
          <w:rFonts w:cs="Calibri"/>
          <w:sz w:val="24"/>
          <w:szCs w:val="24"/>
        </w:rPr>
        <w:t xml:space="preserve">EPS and P/E. </w:t>
      </w:r>
      <w:r w:rsidR="00064842">
        <w:rPr>
          <w:rFonts w:cs="Calibri"/>
          <w:sz w:val="24"/>
          <w:szCs w:val="24"/>
        </w:rPr>
        <w:t>However this 38% is not a simple flat rate: Fama and French find that changes in earnings tend to reverse from one year to the next, large changes of either sign reverse more quickly than small changes, and negative earnings changes reverse more quickly than positive changes. This may help explain the difference in experience of glamour and value investors that we observe below: a high P/E may be the result of one or more large negative earnings changes, and thus it is more likely to reverse and place the company in a different P/E decile.</w:t>
      </w:r>
    </w:p>
    <w:p w:rsidR="00AD3510" w:rsidRDefault="00E53DEF" w:rsidP="00AE7B5D">
      <w:pPr>
        <w:spacing w:line="360" w:lineRule="auto"/>
        <w:jc w:val="both"/>
        <w:rPr>
          <w:rFonts w:cs="Calibri"/>
          <w:sz w:val="24"/>
          <w:szCs w:val="24"/>
        </w:rPr>
      </w:pPr>
      <w:r>
        <w:rPr>
          <w:rFonts w:cs="Calibri"/>
          <w:sz w:val="24"/>
          <w:szCs w:val="24"/>
        </w:rPr>
        <w:t xml:space="preserve">By how much are </w:t>
      </w:r>
      <w:r w:rsidR="004B3F4E" w:rsidRPr="00DB620E">
        <w:rPr>
          <w:rFonts w:cs="Calibri"/>
          <w:sz w:val="24"/>
          <w:szCs w:val="24"/>
        </w:rPr>
        <w:t>investors in glamour shares underestimating the likelihood that their high P/E share will change its P/E</w:t>
      </w:r>
      <w:r>
        <w:rPr>
          <w:rFonts w:cs="Calibri"/>
          <w:sz w:val="24"/>
          <w:szCs w:val="24"/>
        </w:rPr>
        <w:t>? To show the adjustment necessary we follow in principle</w:t>
      </w:r>
      <w:r w:rsidR="004B3F4E" w:rsidRPr="00DB620E">
        <w:rPr>
          <w:rFonts w:cs="Calibri"/>
          <w:sz w:val="24"/>
          <w:szCs w:val="24"/>
        </w:rPr>
        <w:t xml:space="preserve"> Keil, Smith and Smith (2004)</w:t>
      </w:r>
      <w:r>
        <w:rPr>
          <w:rFonts w:cs="Calibri"/>
          <w:sz w:val="24"/>
          <w:szCs w:val="24"/>
        </w:rPr>
        <w:t xml:space="preserve"> and </w:t>
      </w:r>
      <w:r w:rsidR="00DD3773">
        <w:rPr>
          <w:rFonts w:cs="Calibri"/>
          <w:sz w:val="24"/>
          <w:szCs w:val="24"/>
        </w:rPr>
        <w:t>Dorsey-</w:t>
      </w:r>
      <w:proofErr w:type="spellStart"/>
      <w:r>
        <w:rPr>
          <w:rFonts w:cs="Calibri"/>
          <w:sz w:val="24"/>
          <w:szCs w:val="24"/>
        </w:rPr>
        <w:t>Palmateer</w:t>
      </w:r>
      <w:proofErr w:type="spellEnd"/>
      <w:r>
        <w:rPr>
          <w:rFonts w:cs="Calibri"/>
          <w:sz w:val="24"/>
          <w:szCs w:val="24"/>
        </w:rPr>
        <w:t xml:space="preserve"> and Smith (2007)</w:t>
      </w:r>
      <w:r w:rsidR="007254A2">
        <w:rPr>
          <w:rFonts w:cs="Calibri"/>
          <w:sz w:val="24"/>
          <w:szCs w:val="24"/>
        </w:rPr>
        <w:t xml:space="preserve">, who found that extreme EPS forecasts and extreme interest rate forecasts </w:t>
      </w:r>
      <w:r w:rsidR="004B3F4E" w:rsidRPr="00DB620E">
        <w:rPr>
          <w:rFonts w:cs="Calibri"/>
          <w:sz w:val="24"/>
          <w:szCs w:val="24"/>
        </w:rPr>
        <w:t xml:space="preserve">could </w:t>
      </w:r>
      <w:r w:rsidR="007254A2">
        <w:rPr>
          <w:rFonts w:cs="Calibri"/>
          <w:sz w:val="24"/>
          <w:szCs w:val="24"/>
        </w:rPr>
        <w:t xml:space="preserve">both </w:t>
      </w:r>
      <w:r w:rsidR="004B3F4E" w:rsidRPr="00DB620E">
        <w:rPr>
          <w:rFonts w:cs="Calibri"/>
          <w:sz w:val="24"/>
          <w:szCs w:val="24"/>
        </w:rPr>
        <w:t xml:space="preserve">be </w:t>
      </w:r>
      <w:r w:rsidR="007254A2">
        <w:rPr>
          <w:rFonts w:cs="Calibri"/>
          <w:sz w:val="24"/>
          <w:szCs w:val="24"/>
        </w:rPr>
        <w:t>improved by</w:t>
      </w:r>
      <w:r w:rsidR="004B3F4E" w:rsidRPr="00DB620E">
        <w:rPr>
          <w:rFonts w:cs="Calibri"/>
          <w:sz w:val="24"/>
          <w:szCs w:val="24"/>
        </w:rPr>
        <w:t xml:space="preserve"> shrinking </w:t>
      </w:r>
      <w:r w:rsidR="007254A2">
        <w:rPr>
          <w:rFonts w:cs="Calibri"/>
          <w:sz w:val="24"/>
          <w:szCs w:val="24"/>
        </w:rPr>
        <w:t xml:space="preserve">them </w:t>
      </w:r>
      <w:r w:rsidR="004B3F4E" w:rsidRPr="00DB620E">
        <w:rPr>
          <w:rFonts w:cs="Calibri"/>
          <w:sz w:val="24"/>
          <w:szCs w:val="24"/>
        </w:rPr>
        <w:t xml:space="preserve">towards the </w:t>
      </w:r>
      <w:r w:rsidR="007254A2">
        <w:rPr>
          <w:rFonts w:cs="Calibri"/>
          <w:sz w:val="24"/>
          <w:szCs w:val="24"/>
        </w:rPr>
        <w:t>long-term mean.</w:t>
      </w:r>
    </w:p>
    <w:p w:rsidR="00560D3F" w:rsidRDefault="007254A2" w:rsidP="00AE7B5D">
      <w:pPr>
        <w:spacing w:line="360" w:lineRule="auto"/>
        <w:jc w:val="both"/>
        <w:rPr>
          <w:rFonts w:cs="Calibri"/>
          <w:sz w:val="24"/>
          <w:szCs w:val="24"/>
        </w:rPr>
      </w:pPr>
      <w:r>
        <w:rPr>
          <w:rFonts w:cs="Calibri"/>
          <w:sz w:val="24"/>
          <w:szCs w:val="24"/>
        </w:rPr>
        <w:t xml:space="preserve">P/E changes through the years are a difficult stochastic process, but we show the current state of knowledge in Section </w:t>
      </w:r>
      <w:r w:rsidR="00E14C7F">
        <w:rPr>
          <w:rFonts w:cs="Calibri"/>
          <w:sz w:val="24"/>
          <w:szCs w:val="24"/>
        </w:rPr>
        <w:t>2</w:t>
      </w:r>
      <w:r>
        <w:rPr>
          <w:rFonts w:cs="Calibri"/>
          <w:sz w:val="24"/>
          <w:szCs w:val="24"/>
        </w:rPr>
        <w:t xml:space="preserve">. Due to this analytical complexity we use TreeAge software to run </w:t>
      </w:r>
      <w:r w:rsidR="00E14C7F">
        <w:rPr>
          <w:rFonts w:cs="Calibri"/>
          <w:sz w:val="24"/>
          <w:szCs w:val="24"/>
        </w:rPr>
        <w:t xml:space="preserve">simulations </w:t>
      </w:r>
      <w:r>
        <w:rPr>
          <w:rFonts w:cs="Calibri"/>
          <w:sz w:val="24"/>
          <w:szCs w:val="24"/>
        </w:rPr>
        <w:t xml:space="preserve">of the Markov process. </w:t>
      </w:r>
      <w:r w:rsidR="00560D3F">
        <w:rPr>
          <w:sz w:val="24"/>
          <w:szCs w:val="24"/>
        </w:rPr>
        <w:t>This software is widely-used in medical cost-benefit analysis (e.g. Menn, Leidl and Holle (2012)), and has also been applied in such areas as nuclear plant breakdown planning (Smith and Borgonovo (2007)) and whether it would be economically sound to fit anti-aircraft missile counter-measures to commercial airliners (</w:t>
      </w:r>
      <w:r w:rsidR="009557C6">
        <w:rPr>
          <w:sz w:val="24"/>
          <w:szCs w:val="24"/>
        </w:rPr>
        <w:t xml:space="preserve">von </w:t>
      </w:r>
      <w:r w:rsidR="00560D3F">
        <w:rPr>
          <w:sz w:val="24"/>
          <w:szCs w:val="24"/>
        </w:rPr>
        <w:t>Winterfeldt and O’Sullivan (2006)). However it has not been applied to problems in finance before.</w:t>
      </w:r>
    </w:p>
    <w:p w:rsidR="00E14C7F" w:rsidRDefault="00E14C7F" w:rsidP="00AE7B5D">
      <w:pPr>
        <w:spacing w:line="360" w:lineRule="auto"/>
        <w:jc w:val="both"/>
        <w:rPr>
          <w:rFonts w:cs="Calibri"/>
          <w:sz w:val="24"/>
          <w:szCs w:val="24"/>
        </w:rPr>
      </w:pPr>
      <w:r>
        <w:rPr>
          <w:rFonts w:cs="Calibri"/>
          <w:sz w:val="24"/>
          <w:szCs w:val="24"/>
        </w:rPr>
        <w:t xml:space="preserve">Our results can be stated briefly. </w:t>
      </w:r>
      <w:r w:rsidR="00203FC7" w:rsidRPr="00203FC7">
        <w:rPr>
          <w:rFonts w:cs="Calibri"/>
          <w:color w:val="FF0000"/>
          <w:sz w:val="24"/>
          <w:szCs w:val="24"/>
        </w:rPr>
        <w:t>Prices, and thus P/</w:t>
      </w:r>
      <w:proofErr w:type="spellStart"/>
      <w:r w:rsidR="00203FC7" w:rsidRPr="00203FC7">
        <w:rPr>
          <w:rFonts w:cs="Calibri"/>
          <w:color w:val="FF0000"/>
          <w:sz w:val="24"/>
          <w:szCs w:val="24"/>
        </w:rPr>
        <w:t>Es</w:t>
      </w:r>
      <w:proofErr w:type="spellEnd"/>
      <w:r w:rsidR="00203FC7" w:rsidRPr="00203FC7">
        <w:rPr>
          <w:rFonts w:cs="Calibri"/>
          <w:color w:val="FF0000"/>
          <w:sz w:val="24"/>
          <w:szCs w:val="24"/>
        </w:rPr>
        <w:t xml:space="preserve">, of value and glamour shares move differently. For all plausible values of the parameters, value share prices will grow more </w:t>
      </w:r>
      <w:r w:rsidR="00203FC7" w:rsidRPr="00203FC7">
        <w:rPr>
          <w:rFonts w:cs="Calibri"/>
          <w:color w:val="FF0000"/>
          <w:sz w:val="24"/>
          <w:szCs w:val="24"/>
        </w:rPr>
        <w:lastRenderedPageBreak/>
        <w:t xml:space="preserve">quickly than those of glamour shares. </w:t>
      </w:r>
      <w:r>
        <w:rPr>
          <w:rFonts w:cs="Calibri"/>
          <w:sz w:val="24"/>
          <w:szCs w:val="24"/>
        </w:rPr>
        <w:t>There is a clear bias in CRSP/</w:t>
      </w:r>
      <w:r w:rsidR="007D7E9E">
        <w:rPr>
          <w:rFonts w:cs="Calibri"/>
          <w:sz w:val="24"/>
          <w:szCs w:val="24"/>
        </w:rPr>
        <w:t>Compustat</w:t>
      </w:r>
      <w:r>
        <w:rPr>
          <w:rFonts w:cs="Calibri"/>
          <w:sz w:val="24"/>
          <w:szCs w:val="24"/>
        </w:rPr>
        <w:t xml:space="preserve"> data against loss-making </w:t>
      </w:r>
      <w:r w:rsidR="007A7D08">
        <w:rPr>
          <w:rFonts w:cs="Calibri"/>
          <w:sz w:val="24"/>
          <w:szCs w:val="24"/>
        </w:rPr>
        <w:t>companies before the mid-1980s, so we start our data analysis from 1983. Glamour shares give three times the returns of value shares if they stay in the same decile, but they have a much greater tendency to move deciles. This results in the relative performances reversing, and the familiar value/glamour split where value shares outperform glamour shares by about 7% p.a. Glamour investors appear to be under-estimating the tendency of their shares to change decile by at least 18%, and possibly much more. The Markov simulation shows no very good returns for glamour investors whatever their horizon, but it does demonstrate the superior returns that value investors can expect if they hold for 2-3 years.</w:t>
      </w:r>
    </w:p>
    <w:p w:rsidR="004B3F4E" w:rsidRPr="00DB620E" w:rsidRDefault="004B3F4E" w:rsidP="004B3F4E">
      <w:pPr>
        <w:spacing w:line="360" w:lineRule="auto"/>
        <w:jc w:val="both"/>
        <w:rPr>
          <w:rFonts w:cs="Calibri"/>
          <w:sz w:val="24"/>
          <w:szCs w:val="24"/>
        </w:rPr>
      </w:pPr>
      <w:r w:rsidRPr="00DB620E">
        <w:rPr>
          <w:rFonts w:cs="Calibri"/>
          <w:sz w:val="24"/>
          <w:szCs w:val="24"/>
        </w:rPr>
        <w:t>The remainder of th</w:t>
      </w:r>
      <w:r w:rsidR="007A7D08">
        <w:rPr>
          <w:rFonts w:cs="Calibri"/>
          <w:sz w:val="24"/>
          <w:szCs w:val="24"/>
        </w:rPr>
        <w:t>e</w:t>
      </w:r>
      <w:r w:rsidRPr="00DB620E">
        <w:rPr>
          <w:rFonts w:cs="Calibri"/>
          <w:sz w:val="24"/>
          <w:szCs w:val="24"/>
        </w:rPr>
        <w:t xml:space="preserve"> paper is organised as follows. </w:t>
      </w:r>
      <w:r w:rsidR="007A7D08">
        <w:rPr>
          <w:rFonts w:cs="Calibri"/>
          <w:sz w:val="24"/>
          <w:szCs w:val="24"/>
        </w:rPr>
        <w:t>The next section describes the current state of knowledge of the P/E as a stochastic variable</w:t>
      </w:r>
      <w:r w:rsidR="00CD1178">
        <w:rPr>
          <w:rFonts w:cs="Calibri"/>
          <w:sz w:val="24"/>
          <w:szCs w:val="24"/>
        </w:rPr>
        <w:t xml:space="preserve"> and whether value and glamour P/</w:t>
      </w:r>
      <w:proofErr w:type="spellStart"/>
      <w:r w:rsidR="00CD1178">
        <w:rPr>
          <w:rFonts w:cs="Calibri"/>
          <w:sz w:val="24"/>
          <w:szCs w:val="24"/>
        </w:rPr>
        <w:t>Es</w:t>
      </w:r>
      <w:proofErr w:type="spellEnd"/>
      <w:r w:rsidR="00CD1178">
        <w:rPr>
          <w:rFonts w:cs="Calibri"/>
          <w:sz w:val="24"/>
          <w:szCs w:val="24"/>
        </w:rPr>
        <w:t xml:space="preserve"> are likely to evolve differently</w:t>
      </w:r>
      <w:r w:rsidR="007A7D08">
        <w:rPr>
          <w:rFonts w:cs="Calibri"/>
          <w:sz w:val="24"/>
          <w:szCs w:val="24"/>
        </w:rPr>
        <w:t xml:space="preserve">. </w:t>
      </w:r>
      <w:r w:rsidRPr="00DB620E">
        <w:rPr>
          <w:rFonts w:cs="Calibri"/>
          <w:sz w:val="24"/>
          <w:szCs w:val="24"/>
        </w:rPr>
        <w:t xml:space="preserve">Section 3 describes the features of </w:t>
      </w:r>
      <w:r w:rsidR="007A7D08">
        <w:rPr>
          <w:rFonts w:cs="Calibri"/>
          <w:sz w:val="24"/>
          <w:szCs w:val="24"/>
        </w:rPr>
        <w:t xml:space="preserve">our </w:t>
      </w:r>
      <w:r w:rsidRPr="00DB620E">
        <w:rPr>
          <w:rFonts w:cs="Calibri"/>
          <w:sz w:val="24"/>
          <w:szCs w:val="24"/>
        </w:rPr>
        <w:t xml:space="preserve">dataset </w:t>
      </w:r>
      <w:r w:rsidR="007A7D08">
        <w:rPr>
          <w:rFonts w:cs="Calibri"/>
          <w:sz w:val="24"/>
          <w:szCs w:val="24"/>
        </w:rPr>
        <w:t xml:space="preserve">and methodology. </w:t>
      </w:r>
      <w:r w:rsidRPr="00DB620E">
        <w:rPr>
          <w:rFonts w:cs="Calibri"/>
          <w:sz w:val="24"/>
          <w:szCs w:val="24"/>
        </w:rPr>
        <w:t>Section 4 presents and analyses the results</w:t>
      </w:r>
      <w:r w:rsidR="007A7D08">
        <w:rPr>
          <w:rFonts w:cs="Calibri"/>
          <w:sz w:val="24"/>
          <w:szCs w:val="24"/>
        </w:rPr>
        <w:t>,</w:t>
      </w:r>
      <w:r w:rsidRPr="00DB620E">
        <w:rPr>
          <w:rFonts w:cs="Calibri"/>
          <w:sz w:val="24"/>
          <w:szCs w:val="24"/>
        </w:rPr>
        <w:t xml:space="preserve"> Section 5 </w:t>
      </w:r>
      <w:r w:rsidR="007A7D08">
        <w:rPr>
          <w:rFonts w:cs="Calibri"/>
          <w:sz w:val="24"/>
          <w:szCs w:val="24"/>
        </w:rPr>
        <w:t xml:space="preserve">estimates the anchoring effect and Section 6 covers the Markov model simulations. Section 7 </w:t>
      </w:r>
      <w:r w:rsidRPr="00DB620E">
        <w:rPr>
          <w:rFonts w:cs="Calibri"/>
          <w:sz w:val="24"/>
          <w:szCs w:val="24"/>
        </w:rPr>
        <w:t xml:space="preserve">concludes and offers suggestions for further research.  </w:t>
      </w:r>
    </w:p>
    <w:p w:rsidR="004F00F3" w:rsidRDefault="004F00F3">
      <w:pPr>
        <w:spacing w:after="0" w:line="240" w:lineRule="auto"/>
        <w:rPr>
          <w:rStyle w:val="Bold"/>
          <w:sz w:val="24"/>
          <w:szCs w:val="24"/>
        </w:rPr>
      </w:pPr>
      <w:r>
        <w:rPr>
          <w:rStyle w:val="Bold"/>
          <w:sz w:val="24"/>
          <w:szCs w:val="24"/>
        </w:rPr>
        <w:br w:type="page"/>
      </w:r>
    </w:p>
    <w:p w:rsidR="00571677" w:rsidRPr="00571677" w:rsidRDefault="00571677" w:rsidP="00203FC7">
      <w:pPr>
        <w:spacing w:line="360" w:lineRule="auto"/>
        <w:jc w:val="both"/>
        <w:rPr>
          <w:sz w:val="24"/>
          <w:szCs w:val="24"/>
        </w:rPr>
      </w:pPr>
      <w:r w:rsidRPr="00571677">
        <w:rPr>
          <w:rStyle w:val="Bold"/>
          <w:sz w:val="24"/>
          <w:szCs w:val="24"/>
        </w:rPr>
        <w:lastRenderedPageBreak/>
        <w:t>2. The P/E as a Stochastic Variable</w:t>
      </w:r>
    </w:p>
    <w:p w:rsidR="00571677" w:rsidRPr="00571677" w:rsidRDefault="00571677" w:rsidP="00203FC7">
      <w:pPr>
        <w:spacing w:line="360" w:lineRule="auto"/>
        <w:jc w:val="both"/>
        <w:rPr>
          <w:sz w:val="24"/>
          <w:szCs w:val="24"/>
        </w:rPr>
      </w:pPr>
      <w:r>
        <w:rPr>
          <w:sz w:val="24"/>
          <w:szCs w:val="24"/>
        </w:rPr>
        <w:t>The simplest realistic description of how s</w:t>
      </w:r>
      <w:r w:rsidRPr="00571677">
        <w:rPr>
          <w:sz w:val="24"/>
          <w:szCs w:val="24"/>
        </w:rPr>
        <w:t>hare prices move</w:t>
      </w:r>
      <w:r>
        <w:rPr>
          <w:sz w:val="24"/>
          <w:szCs w:val="24"/>
        </w:rPr>
        <w:t xml:space="preserve">, at least in the short term, is that of </w:t>
      </w:r>
      <w:r w:rsidRPr="00571677">
        <w:rPr>
          <w:sz w:val="24"/>
          <w:szCs w:val="24"/>
        </w:rPr>
        <w:t>a stochastic variable with geometric Brownian motion</w:t>
      </w:r>
      <w:r>
        <w:rPr>
          <w:sz w:val="24"/>
          <w:szCs w:val="24"/>
        </w:rPr>
        <w:t>,</w:t>
      </w:r>
      <w:r w:rsidRPr="00571677">
        <w:rPr>
          <w:sz w:val="24"/>
          <w:szCs w:val="24"/>
        </w:rPr>
        <w:t xml:space="preserve"> as described by Samuelson (1965):</w:t>
      </w:r>
    </w:p>
    <w:p w:rsidR="00571677" w:rsidRPr="00571677" w:rsidRDefault="00571677" w:rsidP="00203FC7">
      <w:pPr>
        <w:spacing w:line="360" w:lineRule="auto"/>
        <w:ind w:left="2880" w:firstLine="720"/>
        <w:jc w:val="both"/>
        <w:rPr>
          <w:sz w:val="24"/>
          <w:szCs w:val="24"/>
        </w:rPr>
      </w:pPr>
      <w:r w:rsidRPr="00571677">
        <w:rPr>
          <w:position w:val="-10"/>
          <w:sz w:val="24"/>
          <w:szCs w:val="24"/>
        </w:rPr>
        <w:object w:dxaOrig="1660" w:dyaOrig="320">
          <v:shape id="_x0000_i3529" type="#_x0000_t75" style="width:83.25pt;height:15.75pt" o:ole="">
            <v:imagedata r:id="rId17" o:title=""/>
          </v:shape>
          <o:OLEObject Type="Embed" ProgID="Equation.3" ShapeID="_x0000_i3529" DrawAspect="Content" ObjectID="_1448180040" r:id="rId18"/>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(2)</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 xml:space="preserve">Where each period the share price  </w:t>
      </w:r>
      <w:r w:rsidRPr="00571677">
        <w:rPr>
          <w:position w:val="-5"/>
          <w:sz w:val="24"/>
          <w:szCs w:val="24"/>
        </w:rPr>
        <w:object w:dxaOrig="165" w:dyaOrig="361">
          <v:shape id="_x0000_i3217" type="#_x0000_t75" style="width:8.25pt;height:18pt" o:ole="">
            <v:imagedata r:id="rId19" o:title=""/>
          </v:shape>
          <o:OLEObject Type="Embed" ProgID="Equation.3" ShapeID="_x0000_i3217" DrawAspect="Content" ObjectID="_1448180041" r:id="rId20"/>
        </w:object>
      </w:r>
      <w:r w:rsidRPr="00571677">
        <w:rPr>
          <w:sz w:val="24"/>
          <w:szCs w:val="24"/>
        </w:rPr>
        <w:t xml:space="preserve"> changes with a drift rate  </w:t>
      </w:r>
      <w:r w:rsidRPr="00571677">
        <w:rPr>
          <w:position w:val="-5"/>
          <w:sz w:val="24"/>
          <w:szCs w:val="24"/>
        </w:rPr>
        <w:object w:dxaOrig="181" w:dyaOrig="375">
          <v:shape id="_x0000_i3218" type="#_x0000_t75" style="width:9pt;height:18.75pt" o:ole="">
            <v:imagedata r:id="rId21" o:title=""/>
          </v:shape>
          <o:OLEObject Type="Embed" ProgID="Equation.3" ShapeID="_x0000_i3218" DrawAspect="Content" ObjectID="_1448180042" r:id="rId22"/>
        </w:object>
      </w:r>
      <w:r w:rsidRPr="00571677">
        <w:rPr>
          <w:sz w:val="24"/>
          <w:szCs w:val="24"/>
        </w:rPr>
        <w:t xml:space="preserve">  and a volatility  </w:t>
      </w:r>
      <w:r w:rsidRPr="00571677">
        <w:rPr>
          <w:position w:val="-5"/>
          <w:sz w:val="24"/>
          <w:szCs w:val="24"/>
        </w:rPr>
        <w:object w:dxaOrig="196" w:dyaOrig="361">
          <v:shape id="_x0000_i3219" type="#_x0000_t75" style="width:9.75pt;height:18pt" o:ole="">
            <v:imagedata r:id="rId23" o:title=""/>
          </v:shape>
          <o:OLEObject Type="Embed" ProgID="Equation.3" ShapeID="_x0000_i3219" DrawAspect="Content" ObjectID="_1448180043" r:id="rId24"/>
        </w:object>
      </w:r>
      <w:r w:rsidRPr="00571677">
        <w:rPr>
          <w:sz w:val="24"/>
          <w:szCs w:val="24"/>
        </w:rPr>
        <w:t xml:space="preserve">  that are both proportional to the current share price.</w:t>
      </w:r>
      <w:proofErr w:type="gramEnd"/>
    </w:p>
    <w:p w:rsidR="00571677" w:rsidRPr="00571677" w:rsidRDefault="00571677" w:rsidP="00203FC7">
      <w:pPr>
        <w:spacing w:line="360" w:lineRule="auto"/>
        <w:jc w:val="both"/>
        <w:rPr>
          <w:sz w:val="24"/>
          <w:szCs w:val="24"/>
        </w:rPr>
      </w:pPr>
      <w:r w:rsidRPr="00571677">
        <w:rPr>
          <w:sz w:val="24"/>
          <w:szCs w:val="24"/>
        </w:rPr>
        <w:t xml:space="preserve">Earnings can also be described as a stochastic process (Chiang, Davidson and </w:t>
      </w:r>
      <w:proofErr w:type="spellStart"/>
      <w:r w:rsidRPr="00571677">
        <w:rPr>
          <w:sz w:val="24"/>
          <w:szCs w:val="24"/>
        </w:rPr>
        <w:t>Okunev</w:t>
      </w:r>
      <w:proofErr w:type="spellEnd"/>
      <w:r w:rsidRPr="00571677">
        <w:rPr>
          <w:sz w:val="24"/>
          <w:szCs w:val="24"/>
        </w:rPr>
        <w:t xml:space="preserve"> 1997); Li 2003) but the model is more complex as earnings can become negative but share prices cannot:</w:t>
      </w:r>
    </w:p>
    <w:p w:rsidR="00571677" w:rsidRPr="00571677" w:rsidRDefault="00571677" w:rsidP="00203FC7">
      <w:pPr>
        <w:spacing w:line="360" w:lineRule="auto"/>
        <w:jc w:val="both"/>
        <w:rPr>
          <w:sz w:val="24"/>
          <w:szCs w:val="24"/>
        </w:rPr>
      </w:pP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3272" w:dyaOrig="570">
          <v:shape id="_x0000_i3220" type="#_x0000_t75" style="width:163.5pt;height:28.5pt" o:ole="">
            <v:imagedata r:id="rId25" o:title=""/>
          </v:shape>
          <o:OLEObject Type="Embed" ProgID="Equation.3" ShapeID="_x0000_i3220" DrawAspect="Content" ObjectID="_1448180044" r:id="rId26"/>
        </w:object>
      </w:r>
      <w:r w:rsidR="004F00F3">
        <w:rPr>
          <w:sz w:val="24"/>
          <w:szCs w:val="24"/>
        </w:rPr>
        <w:tab/>
      </w:r>
      <w:r w:rsidR="004F00F3">
        <w:rPr>
          <w:sz w:val="24"/>
          <w:szCs w:val="24"/>
        </w:rPr>
        <w:tab/>
      </w:r>
      <w:r w:rsidR="004F00F3">
        <w:rPr>
          <w:sz w:val="24"/>
          <w:szCs w:val="24"/>
        </w:rPr>
        <w:tab/>
      </w:r>
      <w:r w:rsidR="004F00F3">
        <w:rPr>
          <w:sz w:val="24"/>
          <w:szCs w:val="24"/>
        </w:rPr>
        <w:tab/>
        <w:t>(3)</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 xml:space="preserve">Where  </w:t>
      </w:r>
      <w:r w:rsidRPr="00571677">
        <w:rPr>
          <w:position w:val="-5"/>
          <w:sz w:val="24"/>
          <w:szCs w:val="24"/>
        </w:rPr>
        <w:object w:dxaOrig="316" w:dyaOrig="361">
          <v:shape id="_x0000_i3221" type="#_x0000_t75" style="width:15.75pt;height:18pt" o:ole="">
            <v:imagedata r:id="rId27" o:title=""/>
          </v:shape>
          <o:OLEObject Type="Embed" ProgID="Equation.3" ShapeID="_x0000_i3221" DrawAspect="Content" ObjectID="_1448180045" r:id="rId28"/>
        </w:object>
      </w:r>
      <w:r w:rsidRPr="00571677">
        <w:rPr>
          <w:sz w:val="24"/>
          <w:szCs w:val="24"/>
        </w:rPr>
        <w:t xml:space="preserve">  is the change in earnings</w:t>
      </w:r>
      <w:proofErr w:type="gramEnd"/>
      <w:r w:rsidRPr="00571677">
        <w:rPr>
          <w:sz w:val="24"/>
          <w:szCs w:val="24"/>
        </w:rPr>
        <w:t xml:space="preserve">,  </w:t>
      </w:r>
      <w:r w:rsidRPr="00571677">
        <w:rPr>
          <w:position w:val="-5"/>
          <w:sz w:val="24"/>
          <w:szCs w:val="24"/>
        </w:rPr>
        <w:object w:dxaOrig="451" w:dyaOrig="375">
          <v:shape id="_x0000_i3222" type="#_x0000_t75" style="width:22.5pt;height:18.75pt" o:ole="">
            <v:imagedata r:id="rId29" o:title=""/>
          </v:shape>
          <o:OLEObject Type="Embed" ProgID="Equation.3" ShapeID="_x0000_i3222" DrawAspect="Content" ObjectID="_1448180046" r:id="rId30"/>
        </w:object>
      </w:r>
      <w:r w:rsidRPr="00571677">
        <w:rPr>
          <w:sz w:val="24"/>
          <w:szCs w:val="24"/>
        </w:rPr>
        <w:t xml:space="preserve">  is the net earnings at time  </w:t>
      </w:r>
      <w:r w:rsidRPr="00571677">
        <w:rPr>
          <w:position w:val="-5"/>
          <w:sz w:val="24"/>
          <w:szCs w:val="24"/>
        </w:rPr>
        <w:object w:dxaOrig="121" w:dyaOrig="361">
          <v:shape id="_x0000_i3223" type="#_x0000_t75" style="width:6pt;height:18pt" o:ole="">
            <v:imagedata r:id="rId31" o:title=""/>
          </v:shape>
          <o:OLEObject Type="Embed" ProgID="Equation.3" ShapeID="_x0000_i3223" DrawAspect="Content" ObjectID="_1448180047" r:id="rId32"/>
        </w:object>
      </w:r>
      <w:r w:rsidRPr="00571677">
        <w:rPr>
          <w:sz w:val="24"/>
          <w:szCs w:val="24"/>
        </w:rPr>
        <w:t xml:space="preserve"> ,  </w:t>
      </w:r>
      <w:r w:rsidRPr="00571677">
        <w:rPr>
          <w:position w:val="-5"/>
          <w:sz w:val="24"/>
          <w:szCs w:val="24"/>
        </w:rPr>
        <w:object w:dxaOrig="181" w:dyaOrig="375">
          <v:shape id="_x0000_i3224" type="#_x0000_t75" style="width:9pt;height:18.75pt" o:ole="">
            <v:imagedata r:id="rId33" o:title=""/>
          </v:shape>
          <o:OLEObject Type="Embed" ProgID="Equation.3" ShapeID="_x0000_i3224" DrawAspect="Content" ObjectID="_1448180048" r:id="rId34"/>
        </w:object>
      </w:r>
      <w:r w:rsidRPr="00571677">
        <w:rPr>
          <w:sz w:val="24"/>
          <w:szCs w:val="24"/>
        </w:rPr>
        <w:t xml:space="preserve">  is the rate of adjustment,  </w:t>
      </w:r>
      <w:r w:rsidRPr="00571677">
        <w:rPr>
          <w:position w:val="-5"/>
          <w:sz w:val="24"/>
          <w:szCs w:val="24"/>
        </w:rPr>
        <w:object w:dxaOrig="481" w:dyaOrig="451">
          <v:shape id="_x0000_i3225" type="#_x0000_t75" style="width:24pt;height:22.5pt" o:ole="">
            <v:imagedata r:id="rId35" o:title=""/>
          </v:shape>
          <o:OLEObject Type="Embed" ProgID="Equation.3" ShapeID="_x0000_i3225" DrawAspect="Content" ObjectID="_1448180049" r:id="rId36"/>
        </w:object>
      </w:r>
      <w:r w:rsidRPr="00571677">
        <w:rPr>
          <w:sz w:val="24"/>
          <w:szCs w:val="24"/>
        </w:rPr>
        <w:t xml:space="preserve">  is the long-term mean and  </w:t>
      </w:r>
      <w:r w:rsidRPr="00571677">
        <w:rPr>
          <w:position w:val="-5"/>
          <w:sz w:val="24"/>
          <w:szCs w:val="24"/>
        </w:rPr>
        <w:object w:dxaOrig="196" w:dyaOrig="361">
          <v:shape id="_x0000_i3226" type="#_x0000_t75" style="width:9.75pt;height:18pt" o:ole="">
            <v:imagedata r:id="rId37" o:title=""/>
          </v:shape>
          <o:OLEObject Type="Embed" ProgID="Equation.3" ShapeID="_x0000_i3226" DrawAspect="Content" ObjectID="_1448180050" r:id="rId38"/>
        </w:object>
      </w:r>
      <w:r w:rsidRPr="00571677">
        <w:rPr>
          <w:sz w:val="24"/>
          <w:szCs w:val="24"/>
        </w:rPr>
        <w:t xml:space="preserve">  is the standard deviation of earnings. This formulation allows considerable flexibility: if  </w:t>
      </w:r>
      <w:r w:rsidRPr="00571677">
        <w:rPr>
          <w:position w:val="-5"/>
          <w:sz w:val="24"/>
          <w:szCs w:val="24"/>
        </w:rPr>
        <w:object w:dxaOrig="601" w:dyaOrig="361">
          <v:shape id="_x0000_i3227" type="#_x0000_t75" style="width:30pt;height:18pt" o:ole="">
            <v:imagedata r:id="rId39" o:title=""/>
          </v:shape>
          <o:OLEObject Type="Embed" ProgID="Equation.3" ShapeID="_x0000_i3227" DrawAspect="Content" ObjectID="_1448180051" r:id="rId40"/>
        </w:object>
      </w:r>
      <w:r w:rsidRPr="00571677">
        <w:rPr>
          <w:sz w:val="24"/>
          <w:szCs w:val="24"/>
        </w:rPr>
        <w:t xml:space="preserve">  and  </w:t>
      </w:r>
      <w:r w:rsidRPr="00571677">
        <w:rPr>
          <w:position w:val="-5"/>
          <w:sz w:val="24"/>
          <w:szCs w:val="24"/>
        </w:rPr>
        <w:object w:dxaOrig="616" w:dyaOrig="375">
          <v:shape id="_x0000_i3228" type="#_x0000_t75" style="width:30.75pt;height:18.75pt" o:ole="">
            <v:imagedata r:id="rId41" o:title=""/>
          </v:shape>
          <o:OLEObject Type="Embed" ProgID="Equation.3" ShapeID="_x0000_i3228" DrawAspect="Content" ObjectID="_1448180052" r:id="rId42"/>
        </w:object>
      </w:r>
      <w:r w:rsidRPr="00571677">
        <w:rPr>
          <w:sz w:val="24"/>
          <w:szCs w:val="24"/>
        </w:rPr>
        <w:t xml:space="preserve"> , we have </w:t>
      </w:r>
      <w:proofErr w:type="gramStart"/>
      <w:r w:rsidRPr="00571677">
        <w:rPr>
          <w:sz w:val="24"/>
          <w:szCs w:val="24"/>
        </w:rPr>
        <w:t>mean</w:t>
      </w:r>
      <w:proofErr w:type="gramEnd"/>
      <w:r w:rsidRPr="00571677">
        <w:rPr>
          <w:sz w:val="24"/>
          <w:szCs w:val="24"/>
        </w:rPr>
        <w:t xml:space="preserve"> reversion towards a time-varying mean; if  </w:t>
      </w:r>
      <w:r w:rsidRPr="00571677">
        <w:rPr>
          <w:position w:val="-5"/>
          <w:sz w:val="24"/>
          <w:szCs w:val="24"/>
        </w:rPr>
        <w:object w:dxaOrig="601" w:dyaOrig="361">
          <v:shape id="_x0000_i3229" type="#_x0000_t75" style="width:30pt;height:18pt" o:ole="">
            <v:imagedata r:id="rId43" o:title=""/>
          </v:shape>
          <o:OLEObject Type="Embed" ProgID="Equation.3" ShapeID="_x0000_i3229" DrawAspect="Content" ObjectID="_1448180053" r:id="rId44"/>
        </w:object>
      </w:r>
      <w:r w:rsidRPr="00571677">
        <w:rPr>
          <w:sz w:val="24"/>
          <w:szCs w:val="24"/>
        </w:rPr>
        <w:t xml:space="preserve">  and  </w:t>
      </w:r>
      <w:r w:rsidRPr="00571677">
        <w:rPr>
          <w:position w:val="-5"/>
          <w:sz w:val="24"/>
          <w:szCs w:val="24"/>
        </w:rPr>
        <w:object w:dxaOrig="616" w:dyaOrig="375">
          <v:shape id="_x0000_i3230" type="#_x0000_t75" style="width:30.75pt;height:18.75pt" o:ole="">
            <v:imagedata r:id="rId45" o:title=""/>
          </v:shape>
          <o:OLEObject Type="Embed" ProgID="Equation.3" ShapeID="_x0000_i3230" DrawAspect="Content" ObjectID="_1448180054" r:id="rId46"/>
        </w:object>
      </w:r>
      <w:r w:rsidRPr="00571677">
        <w:rPr>
          <w:sz w:val="24"/>
          <w:szCs w:val="24"/>
        </w:rPr>
        <w:t xml:space="preserve"> , earnings revert to a stable long-term mean; if  </w:t>
      </w:r>
      <w:r w:rsidRPr="00571677">
        <w:rPr>
          <w:position w:val="-5"/>
          <w:sz w:val="24"/>
          <w:szCs w:val="24"/>
        </w:rPr>
        <w:object w:dxaOrig="616" w:dyaOrig="375">
          <v:shape id="_x0000_i3231" type="#_x0000_t75" style="width:30.75pt;height:18.75pt" o:ole="">
            <v:imagedata r:id="rId47" o:title=""/>
          </v:shape>
          <o:OLEObject Type="Embed" ProgID="Equation.3" ShapeID="_x0000_i3231" DrawAspect="Content" ObjectID="_1448180055" r:id="rId48"/>
        </w:object>
      </w:r>
      <w:r w:rsidRPr="00571677">
        <w:rPr>
          <w:sz w:val="24"/>
          <w:szCs w:val="24"/>
        </w:rPr>
        <w:t xml:space="preserve"> , we have a random walk.</w:t>
      </w:r>
    </w:p>
    <w:p w:rsidR="00571677" w:rsidRDefault="00571677" w:rsidP="00203FC7">
      <w:pPr>
        <w:spacing w:line="360" w:lineRule="auto"/>
        <w:jc w:val="both"/>
        <w:rPr>
          <w:sz w:val="24"/>
          <w:szCs w:val="24"/>
        </w:rPr>
      </w:pPr>
      <w:r w:rsidRPr="00571677">
        <w:rPr>
          <w:sz w:val="24"/>
          <w:szCs w:val="24"/>
        </w:rPr>
        <w:t xml:space="preserve">Since both the price and EPS can be modelled as stochastic series with geometric Brownian motion, their ratio  </w:t>
      </w:r>
      <w:r w:rsidRPr="00571677">
        <w:rPr>
          <w:position w:val="-5"/>
          <w:sz w:val="24"/>
          <w:szCs w:val="24"/>
        </w:rPr>
        <w:object w:dxaOrig="240" w:dyaOrig="421">
          <v:shape id="_x0000_i3232" type="#_x0000_t75" style="width:12pt;height:21pt" o:ole="">
            <v:imagedata r:id="rId49" o:title=""/>
          </v:shape>
          <o:OLEObject Type="Embed" ProgID="Equation.3" ShapeID="_x0000_i3232" DrawAspect="Content" ObjectID="_1448180056" r:id="rId50"/>
        </w:object>
      </w:r>
      <w:r w:rsidRPr="00571677">
        <w:rPr>
          <w:sz w:val="24"/>
          <w:szCs w:val="24"/>
        </w:rPr>
        <w:t xml:space="preserve">  or  </w:t>
      </w:r>
      <w:r w:rsidRPr="00571677">
        <w:rPr>
          <w:position w:val="-5"/>
          <w:sz w:val="24"/>
          <w:szCs w:val="24"/>
        </w:rPr>
        <w:object w:dxaOrig="240" w:dyaOrig="421">
          <v:shape id="_x0000_i3233" type="#_x0000_t75" style="width:12pt;height:21pt" o:ole="">
            <v:imagedata r:id="rId51" o:title=""/>
          </v:shape>
          <o:OLEObject Type="Embed" ProgID="Equation.3" ShapeID="_x0000_i3233" DrawAspect="Content" ObjectID="_1448180057" r:id="rId52"/>
        </w:object>
      </w:r>
      <w:r w:rsidRPr="00571677">
        <w:rPr>
          <w:sz w:val="24"/>
          <w:szCs w:val="24"/>
        </w:rPr>
        <w:t xml:space="preserve">  will also be a </w:t>
      </w:r>
      <w:proofErr w:type="spellStart"/>
      <w:r w:rsidRPr="00571677">
        <w:rPr>
          <w:sz w:val="24"/>
          <w:szCs w:val="24"/>
        </w:rPr>
        <w:t>gBm</w:t>
      </w:r>
      <w:proofErr w:type="spellEnd"/>
      <w:r w:rsidRPr="00571677">
        <w:rPr>
          <w:sz w:val="24"/>
          <w:szCs w:val="24"/>
        </w:rPr>
        <w:t xml:space="preserve">, albeit a complex one. </w:t>
      </w:r>
      <w:proofErr w:type="spellStart"/>
      <w:r w:rsidRPr="00571677">
        <w:rPr>
          <w:sz w:val="24"/>
          <w:szCs w:val="24"/>
        </w:rPr>
        <w:t>Alcock</w:t>
      </w:r>
      <w:proofErr w:type="spellEnd"/>
      <w:r w:rsidRPr="00571677">
        <w:rPr>
          <w:sz w:val="24"/>
          <w:szCs w:val="24"/>
        </w:rPr>
        <w:t xml:space="preserve">, </w:t>
      </w:r>
      <w:proofErr w:type="spellStart"/>
      <w:r w:rsidRPr="00571677">
        <w:rPr>
          <w:sz w:val="24"/>
          <w:szCs w:val="24"/>
        </w:rPr>
        <w:t>Mollee</w:t>
      </w:r>
      <w:proofErr w:type="spellEnd"/>
      <w:r w:rsidRPr="00571677">
        <w:rPr>
          <w:sz w:val="24"/>
          <w:szCs w:val="24"/>
        </w:rPr>
        <w:t xml:space="preserve"> and Wood (2011) derive a stochastic earnings valuation model and make the important point that the standard DCF model is wrong in assuming the P/E to be constant. The DCF model completely ignores the future volatility of earnings as a source of risk. Using numerical methods to solve their system of equations they demonstrate that the P/E is a noisy process, not just a noisy observation of a deterministic process.</w:t>
      </w:r>
    </w:p>
    <w:p w:rsidR="004F00F3" w:rsidRPr="00571677" w:rsidRDefault="004F00F3" w:rsidP="00203FC7">
      <w:pPr>
        <w:spacing w:line="360" w:lineRule="auto"/>
        <w:jc w:val="both"/>
        <w:rPr>
          <w:sz w:val="24"/>
          <w:szCs w:val="24"/>
        </w:rPr>
      </w:pPr>
    </w:p>
    <w:p w:rsidR="00571677" w:rsidRPr="00571677" w:rsidRDefault="00571677" w:rsidP="00203FC7">
      <w:pPr>
        <w:spacing w:line="360" w:lineRule="auto"/>
        <w:jc w:val="both"/>
        <w:rPr>
          <w:sz w:val="24"/>
          <w:szCs w:val="24"/>
        </w:rPr>
      </w:pPr>
      <w:r w:rsidRPr="00571677">
        <w:rPr>
          <w:rStyle w:val="Bold"/>
          <w:sz w:val="24"/>
          <w:szCs w:val="24"/>
        </w:rPr>
        <w:lastRenderedPageBreak/>
        <w:t>2.1 An Application of the Merton Model</w:t>
      </w:r>
    </w:p>
    <w:p w:rsidR="00571677" w:rsidRPr="00571677" w:rsidRDefault="00571677" w:rsidP="00203FC7">
      <w:pPr>
        <w:spacing w:line="360" w:lineRule="auto"/>
        <w:jc w:val="both"/>
        <w:rPr>
          <w:sz w:val="24"/>
          <w:szCs w:val="24"/>
        </w:rPr>
      </w:pPr>
      <w:r w:rsidRPr="00571677">
        <w:rPr>
          <w:sz w:val="24"/>
          <w:szCs w:val="24"/>
        </w:rPr>
        <w:t xml:space="preserve">Can we expect the </w:t>
      </w:r>
      <w:r w:rsidR="00203FC7">
        <w:rPr>
          <w:sz w:val="24"/>
          <w:szCs w:val="24"/>
        </w:rPr>
        <w:t xml:space="preserve">prices </w:t>
      </w:r>
      <w:r w:rsidRPr="00571677">
        <w:rPr>
          <w:sz w:val="24"/>
          <w:szCs w:val="24"/>
        </w:rPr>
        <w:t>of value and glamour firms to evolve differently through time? We investigate this using Merton's (1974)</w:t>
      </w:r>
      <w:r w:rsidR="00411827">
        <w:rPr>
          <w:sz w:val="24"/>
          <w:szCs w:val="24"/>
        </w:rPr>
        <w:t xml:space="preserve"> </w:t>
      </w:r>
      <w:r w:rsidRPr="00571677">
        <w:rPr>
          <w:sz w:val="24"/>
          <w:szCs w:val="24"/>
        </w:rPr>
        <w:t xml:space="preserve">model, where </w:t>
      </w:r>
      <w:r w:rsidR="00411827">
        <w:rPr>
          <w:sz w:val="24"/>
          <w:szCs w:val="24"/>
        </w:rPr>
        <w:t xml:space="preserve">a company’s equity is an option on the assets of the company. Here </w:t>
      </w:r>
      <w:r w:rsidRPr="00571677">
        <w:rPr>
          <w:sz w:val="24"/>
          <w:szCs w:val="24"/>
        </w:rPr>
        <w:t xml:space="preserve">the value  </w:t>
      </w:r>
      <w:r w:rsidRPr="00571677">
        <w:rPr>
          <w:position w:val="-5"/>
          <w:sz w:val="24"/>
          <w:szCs w:val="24"/>
        </w:rPr>
        <w:object w:dxaOrig="271" w:dyaOrig="361">
          <v:shape id="_x0000_i3234" type="#_x0000_t75" style="width:13.5pt;height:18pt" o:ole="">
            <v:imagedata r:id="rId53" o:title=""/>
          </v:shape>
          <o:OLEObject Type="Embed" ProgID="Equation.3" ShapeID="_x0000_i3234" DrawAspect="Content" ObjectID="_1448180058" r:id="rId54"/>
        </w:object>
      </w:r>
      <w:r w:rsidRPr="00571677">
        <w:rPr>
          <w:sz w:val="24"/>
          <w:szCs w:val="24"/>
        </w:rPr>
        <w:t xml:space="preserve">  of a company follows geometric Brownian motion</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2582" w:dyaOrig="570">
          <v:shape id="_x0000_i3235" type="#_x0000_t75" style="width:129pt;height:28.5pt" o:ole="">
            <v:imagedata r:id="rId55" o:title=""/>
          </v:shape>
          <o:OLEObject Type="Embed" ProgID="Equation.3" ShapeID="_x0000_i3235" DrawAspect="Content" ObjectID="_1448180059" r:id="rId56"/>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(4)</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that</w:t>
      </w:r>
      <w:proofErr w:type="gramEnd"/>
      <w:r w:rsidRPr="00571677">
        <w:rPr>
          <w:sz w:val="24"/>
          <w:szCs w:val="24"/>
        </w:rPr>
        <w:t xml:space="preserve"> is,</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2417" w:dyaOrig="600">
          <v:shape id="_x0000_i3236" type="#_x0000_t75" style="width:120.75pt;height:30pt" o:ole="">
            <v:imagedata r:id="rId57" o:title=""/>
          </v:shape>
          <o:OLEObject Type="Embed" ProgID="Equation.3" ShapeID="_x0000_i3236" DrawAspect="Content" ObjectID="_1448180060" r:id="rId58"/>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(5)</w:t>
      </w:r>
    </w:p>
    <w:p w:rsidR="00571677" w:rsidRPr="00571677" w:rsidRDefault="00571677" w:rsidP="00203FC7">
      <w:pPr>
        <w:spacing w:line="360" w:lineRule="auto"/>
        <w:jc w:val="both"/>
        <w:rPr>
          <w:sz w:val="24"/>
          <w:szCs w:val="24"/>
        </w:rPr>
      </w:pPr>
      <w:r w:rsidRPr="00571677">
        <w:rPr>
          <w:sz w:val="24"/>
          <w:szCs w:val="24"/>
        </w:rPr>
        <w:t xml:space="preserve"> The company's debt with face value  </w:t>
      </w:r>
      <w:r w:rsidRPr="00571677">
        <w:rPr>
          <w:position w:val="-5"/>
          <w:sz w:val="24"/>
          <w:szCs w:val="24"/>
        </w:rPr>
        <w:object w:dxaOrig="211" w:dyaOrig="361">
          <v:shape id="_x0000_i3237" type="#_x0000_t75" style="width:10.5pt;height:18pt" o:ole="">
            <v:imagedata r:id="rId59" o:title=""/>
          </v:shape>
          <o:OLEObject Type="Embed" ProgID="Equation.3" ShapeID="_x0000_i3237" DrawAspect="Content" ObjectID="_1448180061" r:id="rId60"/>
        </w:object>
      </w:r>
      <w:r w:rsidRPr="00571677">
        <w:rPr>
          <w:sz w:val="24"/>
          <w:szCs w:val="24"/>
        </w:rPr>
        <w:t xml:space="preserve">  is due at time  </w:t>
      </w:r>
      <w:r w:rsidRPr="00571677">
        <w:rPr>
          <w:position w:val="-5"/>
          <w:sz w:val="24"/>
          <w:szCs w:val="24"/>
        </w:rPr>
        <w:object w:dxaOrig="181" w:dyaOrig="361">
          <v:shape id="_x0000_i3238" type="#_x0000_t75" style="width:9pt;height:18pt" o:ole="">
            <v:imagedata r:id="rId61" o:title=""/>
          </v:shape>
          <o:OLEObject Type="Embed" ProgID="Equation.3" ShapeID="_x0000_i3238" DrawAspect="Content" ObjectID="_1448180062" r:id="rId62"/>
        </w:object>
      </w:r>
      <w:r w:rsidRPr="00571677">
        <w:rPr>
          <w:sz w:val="24"/>
          <w:szCs w:val="24"/>
        </w:rPr>
        <w:t xml:space="preserve"> . Stock price  </w:t>
      </w:r>
      <w:r w:rsidRPr="00571677">
        <w:rPr>
          <w:position w:val="-5"/>
          <w:sz w:val="24"/>
          <w:szCs w:val="24"/>
        </w:rPr>
        <w:object w:dxaOrig="196" w:dyaOrig="361">
          <v:shape id="_x0000_i3239" type="#_x0000_t75" style="width:9.75pt;height:18pt" o:ole="">
            <v:imagedata r:id="rId63" o:title=""/>
          </v:shape>
          <o:OLEObject Type="Embed" ProgID="Equation.3" ShapeID="_x0000_i3239" DrawAspect="Content" ObjectID="_1448180063" r:id="rId64"/>
        </w:object>
      </w:r>
      <w:r w:rsidRPr="00571677">
        <w:rPr>
          <w:sz w:val="24"/>
          <w:szCs w:val="24"/>
        </w:rPr>
        <w:t xml:space="preserve">  at time  </w:t>
      </w:r>
      <w:r w:rsidRPr="00571677">
        <w:rPr>
          <w:position w:val="-5"/>
          <w:sz w:val="24"/>
          <w:szCs w:val="24"/>
        </w:rPr>
        <w:object w:dxaOrig="181" w:dyaOrig="361">
          <v:shape id="_x0000_i3240" type="#_x0000_t75" style="width:9pt;height:18pt" o:ole="">
            <v:imagedata r:id="rId65" o:title=""/>
          </v:shape>
          <o:OLEObject Type="Embed" ProgID="Equation.3" ShapeID="_x0000_i3240" DrawAspect="Content" ObjectID="_1448180064" r:id="rId66"/>
        </w:object>
      </w:r>
      <w:r w:rsidRPr="00571677">
        <w:rPr>
          <w:sz w:val="24"/>
          <w:szCs w:val="24"/>
        </w:rPr>
        <w:t xml:space="preserve">  is the payoff a call option on  </w:t>
      </w:r>
      <w:r w:rsidRPr="00571677">
        <w:rPr>
          <w:position w:val="-5"/>
          <w:sz w:val="24"/>
          <w:szCs w:val="24"/>
        </w:rPr>
        <w:object w:dxaOrig="316" w:dyaOrig="361">
          <v:shape id="_x0000_i3241" type="#_x0000_t75" style="width:15.75pt;height:18pt" o:ole="">
            <v:imagedata r:id="rId67" o:title=""/>
          </v:shape>
          <o:OLEObject Type="Embed" ProgID="Equation.3" ShapeID="_x0000_i3241" DrawAspect="Content" ObjectID="_1448180065" r:id="rId68"/>
        </w:object>
      </w:r>
      <w:r w:rsidRPr="00571677">
        <w:rPr>
          <w:sz w:val="24"/>
          <w:szCs w:val="24"/>
        </w:rPr>
        <w:t xml:space="preserve">  with strike price  </w:t>
      </w:r>
      <w:r w:rsidRPr="00571677">
        <w:rPr>
          <w:position w:val="-5"/>
          <w:sz w:val="24"/>
          <w:szCs w:val="24"/>
        </w:rPr>
        <w:object w:dxaOrig="211" w:dyaOrig="361">
          <v:shape id="_x0000_i3242" type="#_x0000_t75" style="width:10.5pt;height:18pt" o:ole="">
            <v:imagedata r:id="rId69" o:title=""/>
          </v:shape>
          <o:OLEObject Type="Embed" ProgID="Equation.3" ShapeID="_x0000_i3242" DrawAspect="Content" ObjectID="_1448180066" r:id="rId70"/>
        </w:object>
      </w:r>
      <w:r w:rsidRPr="00571677">
        <w:rPr>
          <w:sz w:val="24"/>
          <w:szCs w:val="24"/>
        </w:rPr>
        <w:t xml:space="preserve"> :</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1816" w:dyaOrig="570">
          <v:shape id="_x0000_i3243" type="#_x0000_t75" style="width:90.75pt;height:28.5pt" o:ole="">
            <v:imagedata r:id="rId71" o:title=""/>
          </v:shape>
          <o:OLEObject Type="Embed" ProgID="Equation.3" ShapeID="_x0000_i3243" DrawAspect="Content" ObjectID="_1448180067" r:id="rId72"/>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(6)</w:t>
      </w:r>
    </w:p>
    <w:p w:rsidR="00571677" w:rsidRPr="00571677" w:rsidRDefault="00571677" w:rsidP="00203FC7">
      <w:pPr>
        <w:spacing w:line="360" w:lineRule="auto"/>
        <w:jc w:val="both"/>
        <w:rPr>
          <w:sz w:val="24"/>
          <w:szCs w:val="24"/>
        </w:rPr>
      </w:pPr>
      <w:r w:rsidRPr="00571677">
        <w:rPr>
          <w:sz w:val="24"/>
          <w:szCs w:val="24"/>
        </w:rPr>
        <w:t xml:space="preserve"> The time  </w:t>
      </w:r>
      <w:r w:rsidRPr="00571677">
        <w:rPr>
          <w:position w:val="-5"/>
          <w:sz w:val="24"/>
          <w:szCs w:val="24"/>
        </w:rPr>
        <w:object w:dxaOrig="165" w:dyaOrig="361">
          <v:shape id="_x0000_i3244" type="#_x0000_t75" style="width:8.25pt;height:18pt" o:ole="">
            <v:imagedata r:id="rId73" o:title=""/>
          </v:shape>
          <o:OLEObject Type="Embed" ProgID="Equation.3" ShapeID="_x0000_i3244" DrawAspect="Content" ObjectID="_1448180068" r:id="rId74"/>
        </w:object>
      </w:r>
      <w:r w:rsidRPr="00571677">
        <w:rPr>
          <w:sz w:val="24"/>
          <w:szCs w:val="24"/>
        </w:rPr>
        <w:t xml:space="preserve">  value of debt must be less than the initial value of the company:</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1471" w:dyaOrig="570">
          <v:shape id="_x0000_i3245" type="#_x0000_t75" style="width:73.5pt;height:28.5pt" o:ole="">
            <v:imagedata r:id="rId75" o:title=""/>
          </v:shape>
          <o:OLEObject Type="Embed" ProgID="Equation.3" ShapeID="_x0000_i3245" DrawAspect="Content" ObjectID="_1448180069" r:id="rId76"/>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(7)</w:t>
      </w:r>
    </w:p>
    <w:p w:rsidR="00571677" w:rsidRPr="00571677" w:rsidRDefault="00571677" w:rsidP="00203FC7">
      <w:pPr>
        <w:spacing w:line="360" w:lineRule="auto"/>
        <w:jc w:val="both"/>
        <w:rPr>
          <w:sz w:val="24"/>
          <w:szCs w:val="24"/>
        </w:rPr>
      </w:pPr>
      <w:r w:rsidRPr="00571677">
        <w:rPr>
          <w:sz w:val="24"/>
          <w:szCs w:val="24"/>
        </w:rPr>
        <w:t xml:space="preserve"> Earnings  </w:t>
      </w:r>
      <w:r w:rsidRPr="00571677">
        <w:rPr>
          <w:position w:val="-5"/>
          <w:sz w:val="24"/>
          <w:szCs w:val="24"/>
        </w:rPr>
        <w:object w:dxaOrig="196" w:dyaOrig="361">
          <v:shape id="_x0000_i3246" type="#_x0000_t75" style="width:9.75pt;height:18pt" o:ole="">
            <v:imagedata r:id="rId77" o:title=""/>
          </v:shape>
          <o:OLEObject Type="Embed" ProgID="Equation.3" ShapeID="_x0000_i3246" DrawAspect="Content" ObjectID="_1448180070" r:id="rId78"/>
        </w:object>
      </w:r>
      <w:r w:rsidRPr="00571677">
        <w:rPr>
          <w:sz w:val="24"/>
          <w:szCs w:val="24"/>
        </w:rPr>
        <w:t xml:space="preserve">  account for the increase in company value between times  </w:t>
      </w:r>
      <w:r w:rsidRPr="00571677">
        <w:rPr>
          <w:position w:val="-5"/>
          <w:sz w:val="24"/>
          <w:szCs w:val="24"/>
        </w:rPr>
        <w:object w:dxaOrig="165" w:dyaOrig="361">
          <v:shape id="_x0000_i3247" type="#_x0000_t75" style="width:8.25pt;height:18pt" o:ole="">
            <v:imagedata r:id="rId79" o:title=""/>
          </v:shape>
          <o:OLEObject Type="Embed" ProgID="Equation.3" ShapeID="_x0000_i3247" DrawAspect="Content" ObjectID="_1448180071" r:id="rId80"/>
        </w:object>
      </w:r>
      <w:r w:rsidRPr="00571677">
        <w:rPr>
          <w:sz w:val="24"/>
          <w:szCs w:val="24"/>
        </w:rPr>
        <w:t xml:space="preserve">  and  </w:t>
      </w:r>
      <w:r w:rsidRPr="00571677">
        <w:rPr>
          <w:position w:val="-5"/>
          <w:sz w:val="24"/>
          <w:szCs w:val="24"/>
        </w:rPr>
        <w:object w:dxaOrig="181" w:dyaOrig="361">
          <v:shape id="_x0000_i3248" type="#_x0000_t75" style="width:9pt;height:18pt" o:ole="">
            <v:imagedata r:id="rId81" o:title=""/>
          </v:shape>
          <o:OLEObject Type="Embed" ProgID="Equation.3" ShapeID="_x0000_i3248" DrawAspect="Content" ObjectID="_1448180072" r:id="rId82"/>
        </w:object>
      </w:r>
      <w:r w:rsidRPr="00571677">
        <w:rPr>
          <w:sz w:val="24"/>
          <w:szCs w:val="24"/>
        </w:rPr>
        <w:t xml:space="preserve"> :</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1892" w:dyaOrig="570">
          <v:shape id="_x0000_i3249" type="#_x0000_t75" style="width:94.5pt;height:28.5pt" o:ole="">
            <v:imagedata r:id="rId83" o:title=""/>
          </v:shape>
          <o:OLEObject Type="Embed" ProgID="Equation.3" ShapeID="_x0000_i3249" DrawAspect="Content" ObjectID="_1448180073" r:id="rId84"/>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(8)</w:t>
      </w:r>
    </w:p>
    <w:p w:rsidR="00571677" w:rsidRPr="00571677" w:rsidRDefault="00571677" w:rsidP="00203FC7">
      <w:pPr>
        <w:spacing w:line="360" w:lineRule="auto"/>
        <w:jc w:val="both"/>
        <w:rPr>
          <w:sz w:val="24"/>
          <w:szCs w:val="24"/>
        </w:rPr>
      </w:pPr>
      <w:r w:rsidRPr="00571677">
        <w:rPr>
          <w:sz w:val="24"/>
          <w:szCs w:val="24"/>
        </w:rPr>
        <w:t xml:space="preserve"> This allows for negative earnings (losses) when  </w:t>
      </w:r>
      <w:r w:rsidRPr="00571677">
        <w:rPr>
          <w:position w:val="-5"/>
          <w:sz w:val="24"/>
          <w:szCs w:val="24"/>
        </w:rPr>
        <w:object w:dxaOrig="1276" w:dyaOrig="361">
          <v:shape id="_x0000_i3250" type="#_x0000_t75" style="width:63.75pt;height:18pt" o:ole="">
            <v:imagedata r:id="rId85" o:title=""/>
          </v:shape>
          <o:OLEObject Type="Embed" ProgID="Equation.3" ShapeID="_x0000_i3250" DrawAspect="Content" ObjectID="_1448180074" r:id="rId86"/>
        </w:object>
      </w:r>
      <w:r w:rsidRPr="00571677">
        <w:rPr>
          <w:sz w:val="24"/>
          <w:szCs w:val="24"/>
        </w:rPr>
        <w:t xml:space="preserve"> . (Note that all quantities here are time  </w:t>
      </w:r>
      <w:r w:rsidRPr="00571677">
        <w:rPr>
          <w:position w:val="-5"/>
          <w:sz w:val="24"/>
          <w:szCs w:val="24"/>
        </w:rPr>
        <w:object w:dxaOrig="181" w:dyaOrig="361">
          <v:shape id="_x0000_i3251" type="#_x0000_t75" style="width:9pt;height:18pt" o:ole="">
            <v:imagedata r:id="rId87" o:title=""/>
          </v:shape>
          <o:OLEObject Type="Embed" ProgID="Equation.3" ShapeID="_x0000_i3251" DrawAspect="Content" ObjectID="_1448180075" r:id="rId88"/>
        </w:object>
      </w:r>
      <w:r w:rsidRPr="00571677">
        <w:rPr>
          <w:sz w:val="24"/>
          <w:szCs w:val="24"/>
        </w:rPr>
        <w:t xml:space="preserve">  values; in particular, the initial value  </w:t>
      </w:r>
      <w:r w:rsidRPr="00571677">
        <w:rPr>
          <w:position w:val="-5"/>
          <w:sz w:val="24"/>
          <w:szCs w:val="24"/>
        </w:rPr>
        <w:object w:dxaOrig="316" w:dyaOrig="361">
          <v:shape id="_x0000_i3252" type="#_x0000_t75" style="width:15.75pt;height:18pt" o:ole="">
            <v:imagedata r:id="rId89" o:title=""/>
          </v:shape>
          <o:OLEObject Type="Embed" ProgID="Equation.3" ShapeID="_x0000_i3252" DrawAspect="Content" ObjectID="_1448180076" r:id="rId90"/>
        </w:object>
      </w:r>
      <w:r w:rsidRPr="00571677">
        <w:rPr>
          <w:sz w:val="24"/>
          <w:szCs w:val="24"/>
        </w:rPr>
        <w:t xml:space="preserve">  is worth  </w:t>
      </w:r>
      <w:r w:rsidRPr="00571677">
        <w:rPr>
          <w:position w:val="-5"/>
          <w:sz w:val="24"/>
          <w:szCs w:val="24"/>
        </w:rPr>
        <w:object w:dxaOrig="601" w:dyaOrig="361">
          <v:shape id="_x0000_i3253" type="#_x0000_t75" style="width:30pt;height:18pt" o:ole="">
            <v:imagedata r:id="rId91" o:title=""/>
          </v:shape>
          <o:OLEObject Type="Embed" ProgID="Equation.3" ShapeID="_x0000_i3253" DrawAspect="Content" ObjectID="_1448180077" r:id="rId92"/>
        </w:object>
      </w:r>
      <w:r w:rsidRPr="00571677">
        <w:rPr>
          <w:sz w:val="24"/>
          <w:szCs w:val="24"/>
        </w:rPr>
        <w:t xml:space="preserve">  at time  </w:t>
      </w:r>
      <w:r w:rsidRPr="00571677">
        <w:rPr>
          <w:position w:val="-5"/>
          <w:sz w:val="24"/>
          <w:szCs w:val="24"/>
        </w:rPr>
        <w:object w:dxaOrig="181" w:dyaOrig="361">
          <v:shape id="_x0000_i3254" type="#_x0000_t75" style="width:9pt;height:18pt" o:ole="">
            <v:imagedata r:id="rId93" o:title=""/>
          </v:shape>
          <o:OLEObject Type="Embed" ProgID="Equation.3" ShapeID="_x0000_i3254" DrawAspect="Content" ObjectID="_1448180078" r:id="rId94"/>
        </w:object>
      </w:r>
      <w:r w:rsidRPr="00571677">
        <w:rPr>
          <w:sz w:val="24"/>
          <w:szCs w:val="24"/>
        </w:rPr>
        <w:t xml:space="preserve"> .)</w:t>
      </w:r>
    </w:p>
    <w:p w:rsidR="00571677" w:rsidRPr="00571677" w:rsidRDefault="00571677" w:rsidP="00203FC7">
      <w:pPr>
        <w:spacing w:line="360" w:lineRule="auto"/>
        <w:jc w:val="both"/>
        <w:rPr>
          <w:sz w:val="24"/>
          <w:szCs w:val="24"/>
        </w:rPr>
      </w:pPr>
      <w:r w:rsidRPr="00571677">
        <w:rPr>
          <w:sz w:val="24"/>
          <w:szCs w:val="24"/>
        </w:rPr>
        <w:t xml:space="preserve">We have a value stock when  </w:t>
      </w:r>
      <w:r w:rsidRPr="00571677">
        <w:rPr>
          <w:position w:val="-5"/>
          <w:sz w:val="24"/>
          <w:szCs w:val="24"/>
        </w:rPr>
        <w:object w:dxaOrig="240" w:dyaOrig="421">
          <v:shape id="_x0000_i3255" type="#_x0000_t75" style="width:12pt;height:21pt" o:ole="">
            <v:imagedata r:id="rId95" o:title=""/>
          </v:shape>
          <o:OLEObject Type="Embed" ProgID="Equation.3" ShapeID="_x0000_i3255" DrawAspect="Content" ObjectID="_1448180079" r:id="rId96"/>
        </w:object>
      </w:r>
      <w:r w:rsidRPr="00571677">
        <w:rPr>
          <w:sz w:val="24"/>
          <w:szCs w:val="24"/>
        </w:rPr>
        <w:t xml:space="preserve">  is large and a glamour stock when  </w:t>
      </w:r>
      <w:r w:rsidRPr="00571677">
        <w:rPr>
          <w:position w:val="-5"/>
          <w:sz w:val="24"/>
          <w:szCs w:val="24"/>
        </w:rPr>
        <w:object w:dxaOrig="240" w:dyaOrig="421">
          <v:shape id="_x0000_i3256" type="#_x0000_t75" style="width:12pt;height:21pt" o:ole="">
            <v:imagedata r:id="rId97" o:title=""/>
          </v:shape>
          <o:OLEObject Type="Embed" ProgID="Equation.3" ShapeID="_x0000_i3256" DrawAspect="Content" ObjectID="_1448180080" r:id="rId98"/>
        </w:object>
      </w:r>
      <w:r w:rsidRPr="00571677">
        <w:rPr>
          <w:sz w:val="24"/>
          <w:szCs w:val="24"/>
        </w:rPr>
        <w:t xml:space="preserve">  is small. More precisely, we have a value stock when  </w:t>
      </w:r>
      <w:r w:rsidRPr="00571677">
        <w:rPr>
          <w:position w:val="-5"/>
          <w:sz w:val="24"/>
          <w:szCs w:val="24"/>
        </w:rPr>
        <w:object w:dxaOrig="781" w:dyaOrig="361">
          <v:shape id="_x0000_i3257" type="#_x0000_t75" style="width:39pt;height:18pt" o:ole="">
            <v:imagedata r:id="rId99" o:title=""/>
          </v:shape>
          <o:OLEObject Type="Embed" ProgID="Equation.3" ShapeID="_x0000_i3257" DrawAspect="Content" ObjectID="_1448180081" r:id="rId100"/>
        </w:object>
      </w:r>
      <w:r w:rsidRPr="00571677">
        <w:rPr>
          <w:sz w:val="24"/>
          <w:szCs w:val="24"/>
        </w:rPr>
        <w:t xml:space="preserve">  and a glamour stock when  </w:t>
      </w:r>
      <w:r w:rsidRPr="00571677">
        <w:rPr>
          <w:position w:val="-5"/>
          <w:sz w:val="24"/>
          <w:szCs w:val="24"/>
        </w:rPr>
        <w:object w:dxaOrig="781" w:dyaOrig="361">
          <v:shape id="_x0000_i3258" type="#_x0000_t75" style="width:39pt;height:18pt" o:ole="">
            <v:imagedata r:id="rId101" o:title=""/>
          </v:shape>
          <o:OLEObject Type="Embed" ProgID="Equation.3" ShapeID="_x0000_i3258" DrawAspect="Content" ObjectID="_1448180082" r:id="rId102"/>
        </w:object>
      </w:r>
      <w:r w:rsidRPr="00571677">
        <w:rPr>
          <w:sz w:val="24"/>
          <w:szCs w:val="24"/>
        </w:rPr>
        <w:t xml:space="preserve">  for some fixed  </w:t>
      </w:r>
      <w:r w:rsidRPr="00571677">
        <w:rPr>
          <w:position w:val="-5"/>
          <w:sz w:val="24"/>
          <w:szCs w:val="24"/>
        </w:rPr>
        <w:object w:dxaOrig="601" w:dyaOrig="361">
          <v:shape id="_x0000_i3259" type="#_x0000_t75" style="width:30pt;height:18pt" o:ole="">
            <v:imagedata r:id="rId103" o:title=""/>
          </v:shape>
          <o:OLEObject Type="Embed" ProgID="Equation.3" ShapeID="_x0000_i3259" DrawAspect="Content" ObjectID="_1448180083" r:id="rId104"/>
        </w:object>
      </w:r>
      <w:r w:rsidRPr="00571677">
        <w:rPr>
          <w:sz w:val="24"/>
          <w:szCs w:val="24"/>
        </w:rPr>
        <w:t xml:space="preserve"> .</w:t>
      </w:r>
    </w:p>
    <w:p w:rsidR="00571677" w:rsidRPr="00571677" w:rsidRDefault="00571677" w:rsidP="00203FC7">
      <w:pPr>
        <w:spacing w:line="360" w:lineRule="auto"/>
        <w:jc w:val="both"/>
        <w:rPr>
          <w:sz w:val="24"/>
          <w:szCs w:val="24"/>
        </w:rPr>
      </w:pPr>
      <w:r w:rsidRPr="00571677">
        <w:rPr>
          <w:sz w:val="24"/>
          <w:szCs w:val="24"/>
        </w:rPr>
        <w:lastRenderedPageBreak/>
        <w:t xml:space="preserve">Note that </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4623" w:dyaOrig="1141">
          <v:shape id="_x0000_i3260" type="#_x0000_t75" style="width:231pt;height:57pt" o:ole="">
            <v:imagedata r:id="rId105" o:title=""/>
          </v:shape>
          <o:OLEObject Type="Embed" ProgID="Equation.3" ShapeID="_x0000_i3260" DrawAspect="Content" ObjectID="_1448180084" r:id="rId106"/>
        </w:object>
      </w:r>
      <w:r w:rsidR="004F00F3">
        <w:rPr>
          <w:sz w:val="24"/>
          <w:szCs w:val="24"/>
        </w:rPr>
        <w:tab/>
      </w:r>
      <w:r w:rsidR="004F00F3">
        <w:rPr>
          <w:sz w:val="24"/>
          <w:szCs w:val="24"/>
        </w:rPr>
        <w:tab/>
      </w:r>
      <w:r w:rsidR="004F00F3">
        <w:rPr>
          <w:sz w:val="24"/>
          <w:szCs w:val="24"/>
        </w:rPr>
        <w:tab/>
        <w:t>(9)</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are</w:t>
      </w:r>
      <w:proofErr w:type="gramEnd"/>
      <w:r w:rsidRPr="00571677">
        <w:rPr>
          <w:sz w:val="24"/>
          <w:szCs w:val="24"/>
        </w:rPr>
        <w:t xml:space="preserve"> random variables. This means that becoming either a value or a glamour company at time  </w:t>
      </w:r>
      <w:r w:rsidRPr="00571677">
        <w:rPr>
          <w:position w:val="-5"/>
          <w:sz w:val="24"/>
          <w:szCs w:val="24"/>
        </w:rPr>
        <w:object w:dxaOrig="181" w:dyaOrig="361">
          <v:shape id="_x0000_i3261" type="#_x0000_t75" style="width:9pt;height:18pt" o:ole="">
            <v:imagedata r:id="rId107" o:title=""/>
          </v:shape>
          <o:OLEObject Type="Embed" ProgID="Equation.3" ShapeID="_x0000_i3261" DrawAspect="Content" ObjectID="_1448180085" r:id="rId108"/>
        </w:object>
      </w:r>
      <w:r w:rsidRPr="00571677">
        <w:rPr>
          <w:sz w:val="24"/>
          <w:szCs w:val="24"/>
        </w:rPr>
        <w:t xml:space="preserve">  are random events, which can happen, respectively, with probabilities </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167" w:dyaOrig="1020">
          <v:shape id="_x0000_i3262" type="#_x0000_t75" style="width:158.25pt;height:51pt" o:ole="">
            <v:imagedata r:id="rId109" o:title=""/>
          </v:shape>
          <o:OLEObject Type="Embed" ProgID="Equation.3" ShapeID="_x0000_i3262" DrawAspect="Content" ObjectID="_1448180086" r:id="rId110"/>
        </w:object>
      </w:r>
      <w:r w:rsidR="004F00F3">
        <w:rPr>
          <w:sz w:val="24"/>
          <w:szCs w:val="24"/>
        </w:rPr>
        <w:tab/>
      </w:r>
      <w:r w:rsidR="004F00F3">
        <w:rPr>
          <w:sz w:val="24"/>
          <w:szCs w:val="24"/>
        </w:rPr>
        <w:tab/>
      </w:r>
      <w:r w:rsidR="004F00F3">
        <w:rPr>
          <w:sz w:val="24"/>
          <w:szCs w:val="24"/>
        </w:rPr>
        <w:tab/>
      </w:r>
      <w:r w:rsidR="004F00F3">
        <w:rPr>
          <w:sz w:val="24"/>
          <w:szCs w:val="24"/>
        </w:rPr>
        <w:tab/>
        <w:t>(10)</w:t>
      </w:r>
    </w:p>
    <w:p w:rsidR="00571677" w:rsidRPr="00571677" w:rsidRDefault="00571677" w:rsidP="00203FC7">
      <w:pPr>
        <w:spacing w:line="360" w:lineRule="auto"/>
        <w:jc w:val="both"/>
        <w:rPr>
          <w:sz w:val="24"/>
          <w:szCs w:val="24"/>
        </w:rPr>
      </w:pPr>
      <w:r w:rsidRPr="00571677">
        <w:rPr>
          <w:sz w:val="24"/>
          <w:szCs w:val="24"/>
        </w:rPr>
        <w:t xml:space="preserve"> We can compute and compare the conditional expectation of the stock price  </w:t>
      </w:r>
      <w:r w:rsidRPr="00571677">
        <w:rPr>
          <w:position w:val="-5"/>
          <w:sz w:val="24"/>
          <w:szCs w:val="24"/>
        </w:rPr>
        <w:object w:dxaOrig="196" w:dyaOrig="361">
          <v:shape id="_x0000_i3263" type="#_x0000_t75" style="width:9.75pt;height:18pt" o:ole="">
            <v:imagedata r:id="rId111" o:title=""/>
          </v:shape>
          <o:OLEObject Type="Embed" ProgID="Equation.3" ShapeID="_x0000_i3263" DrawAspect="Content" ObjectID="_1448180087" r:id="rId112"/>
        </w:object>
      </w:r>
      <w:r w:rsidRPr="00571677">
        <w:rPr>
          <w:sz w:val="24"/>
          <w:szCs w:val="24"/>
        </w:rPr>
        <w:t xml:space="preserve">  given that we have a value stock</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197" w:dyaOrig="600">
          <v:shape id="_x0000_i3264" type="#_x0000_t75" style="width:159.75pt;height:30pt" o:ole="">
            <v:imagedata r:id="rId113" o:title=""/>
          </v:shape>
          <o:OLEObject Type="Embed" ProgID="Equation.3" ShapeID="_x0000_i3264" DrawAspect="Content" ObjectID="_1448180088" r:id="rId114"/>
        </w:object>
      </w:r>
      <w:r w:rsidR="004F00F3">
        <w:rPr>
          <w:sz w:val="24"/>
          <w:szCs w:val="24"/>
        </w:rPr>
        <w:tab/>
      </w:r>
      <w:r w:rsidR="004F00F3">
        <w:rPr>
          <w:sz w:val="24"/>
          <w:szCs w:val="24"/>
        </w:rPr>
        <w:tab/>
      </w:r>
      <w:r w:rsidR="004F00F3">
        <w:rPr>
          <w:sz w:val="24"/>
          <w:szCs w:val="24"/>
        </w:rPr>
        <w:tab/>
      </w:r>
      <w:r w:rsidR="004F00F3">
        <w:rPr>
          <w:sz w:val="24"/>
          <w:szCs w:val="24"/>
        </w:rPr>
        <w:tab/>
        <w:t>(11)</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with</w:t>
      </w:r>
      <w:proofErr w:type="gramEnd"/>
      <w:r w:rsidRPr="00571677">
        <w:rPr>
          <w:sz w:val="24"/>
          <w:szCs w:val="24"/>
        </w:rPr>
        <w:t xml:space="preserve"> the conditional expectation of  </w:t>
      </w:r>
      <w:r w:rsidRPr="00571677">
        <w:rPr>
          <w:position w:val="-5"/>
          <w:sz w:val="24"/>
          <w:szCs w:val="24"/>
        </w:rPr>
        <w:object w:dxaOrig="196" w:dyaOrig="361">
          <v:shape id="_x0000_i3265" type="#_x0000_t75" style="width:9.75pt;height:18pt" o:ole="">
            <v:imagedata r:id="rId115" o:title=""/>
          </v:shape>
          <o:OLEObject Type="Embed" ProgID="Equation.3" ShapeID="_x0000_i3265" DrawAspect="Content" ObjectID="_1448180089" r:id="rId116"/>
        </w:object>
      </w:r>
      <w:r w:rsidRPr="00571677">
        <w:rPr>
          <w:sz w:val="24"/>
          <w:szCs w:val="24"/>
        </w:rPr>
        <w:t xml:space="preserve">  given that we have a glamour stock</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587" w:dyaOrig="600">
          <v:shape id="_x0000_i3266" type="#_x0000_t75" style="width:179.25pt;height:30pt" o:ole="">
            <v:imagedata r:id="rId117" o:title=""/>
          </v:shape>
          <o:OLEObject Type="Embed" ProgID="Equation.3" ShapeID="_x0000_i3266" DrawAspect="Content" ObjectID="_1448180090" r:id="rId118"/>
        </w:object>
      </w:r>
      <w:r w:rsidR="004F00F3">
        <w:rPr>
          <w:sz w:val="24"/>
          <w:szCs w:val="24"/>
        </w:rPr>
        <w:tab/>
      </w:r>
      <w:r w:rsidR="004F00F3">
        <w:rPr>
          <w:sz w:val="24"/>
          <w:szCs w:val="24"/>
        </w:rPr>
        <w:tab/>
      </w:r>
      <w:r w:rsidR="004F00F3">
        <w:rPr>
          <w:sz w:val="24"/>
          <w:szCs w:val="24"/>
        </w:rPr>
        <w:tab/>
      </w:r>
      <w:r w:rsidR="004F00F3">
        <w:rPr>
          <w:sz w:val="24"/>
          <w:szCs w:val="24"/>
        </w:rPr>
        <w:tab/>
        <w:t>(12)</w:t>
      </w:r>
    </w:p>
    <w:p w:rsidR="00571677" w:rsidRPr="00571677" w:rsidRDefault="00571677" w:rsidP="00203FC7">
      <w:pPr>
        <w:spacing w:line="360" w:lineRule="auto"/>
        <w:jc w:val="both"/>
        <w:rPr>
          <w:sz w:val="24"/>
          <w:szCs w:val="24"/>
        </w:rPr>
      </w:pPr>
      <w:r w:rsidRPr="00571677">
        <w:rPr>
          <w:sz w:val="24"/>
          <w:szCs w:val="24"/>
        </w:rPr>
        <w:t xml:space="preserve"> If it turns out that </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512" w:dyaOrig="600">
          <v:shape id="_x0000_i3267" type="#_x0000_t75" style="width:175.5pt;height:30pt" o:ole="">
            <v:imagedata r:id="rId119" o:title=""/>
          </v:shape>
          <o:OLEObject Type="Embed" ProgID="Equation.3" ShapeID="_x0000_i3267" DrawAspect="Content" ObjectID="_1448180091" r:id="rId120"/>
        </w:object>
      </w:r>
      <w:r w:rsidR="004F00F3">
        <w:rPr>
          <w:sz w:val="24"/>
          <w:szCs w:val="24"/>
        </w:rPr>
        <w:tab/>
      </w:r>
      <w:r w:rsidR="004F00F3">
        <w:rPr>
          <w:sz w:val="24"/>
          <w:szCs w:val="24"/>
        </w:rPr>
        <w:tab/>
      </w:r>
      <w:r w:rsidR="004F00F3">
        <w:rPr>
          <w:sz w:val="24"/>
          <w:szCs w:val="24"/>
        </w:rPr>
        <w:tab/>
      </w:r>
      <w:r w:rsidR="004F00F3">
        <w:rPr>
          <w:sz w:val="24"/>
          <w:szCs w:val="24"/>
        </w:rPr>
        <w:tab/>
        <w:t>(13)</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it</w:t>
      </w:r>
      <w:proofErr w:type="gramEnd"/>
      <w:r w:rsidRPr="00571677">
        <w:rPr>
          <w:sz w:val="24"/>
          <w:szCs w:val="24"/>
        </w:rPr>
        <w:t xml:space="preserve"> would be consistent the observations that value stock tends outperform glamour stock.</w:t>
      </w:r>
    </w:p>
    <w:p w:rsidR="00571677" w:rsidRPr="00571677" w:rsidRDefault="00571677" w:rsidP="00203FC7">
      <w:pPr>
        <w:spacing w:line="360" w:lineRule="auto"/>
        <w:jc w:val="both"/>
        <w:rPr>
          <w:sz w:val="24"/>
          <w:szCs w:val="24"/>
        </w:rPr>
      </w:pPr>
    </w:p>
    <w:p w:rsidR="00571677" w:rsidRPr="00571677" w:rsidRDefault="00571677" w:rsidP="00203FC7">
      <w:pPr>
        <w:spacing w:line="360" w:lineRule="auto"/>
        <w:jc w:val="both"/>
        <w:rPr>
          <w:sz w:val="24"/>
          <w:szCs w:val="24"/>
        </w:rPr>
      </w:pPr>
      <w:r w:rsidRPr="00571677">
        <w:rPr>
          <w:rStyle w:val="Bold"/>
          <w:sz w:val="24"/>
          <w:szCs w:val="24"/>
        </w:rPr>
        <w:t>2.2 Detailed calculations</w:t>
      </w:r>
    </w:p>
    <w:p w:rsidR="00571677" w:rsidRPr="00571677" w:rsidRDefault="00571677" w:rsidP="00203FC7">
      <w:pPr>
        <w:spacing w:line="360" w:lineRule="auto"/>
        <w:jc w:val="both"/>
        <w:rPr>
          <w:sz w:val="24"/>
          <w:szCs w:val="24"/>
        </w:rPr>
      </w:pPr>
      <w:r w:rsidRPr="00571677">
        <w:rPr>
          <w:sz w:val="24"/>
          <w:szCs w:val="24"/>
        </w:rPr>
        <w:t>Some parts of these calculations will be quite similar to the derivation of the Black-Scholes formula for the call/put prices. In particular, we shall use the notation</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182" w:dyaOrig="990">
          <v:shape id="_x0000_i3268" type="#_x0000_t75" style="width:159pt;height:49.5pt" o:ole="">
            <v:imagedata r:id="rId121" o:title=""/>
          </v:shape>
          <o:OLEObject Type="Embed" ProgID="Equation.3" ShapeID="_x0000_i3268" DrawAspect="Content" ObjectID="_1448180092" r:id="rId122"/>
        </w:object>
      </w:r>
      <w:r w:rsidR="004F00F3">
        <w:rPr>
          <w:sz w:val="24"/>
          <w:szCs w:val="24"/>
        </w:rPr>
        <w:tab/>
      </w:r>
      <w:r w:rsidR="004F00F3">
        <w:rPr>
          <w:sz w:val="24"/>
          <w:szCs w:val="24"/>
        </w:rPr>
        <w:tab/>
      </w:r>
      <w:r w:rsidR="004F00F3">
        <w:rPr>
          <w:sz w:val="24"/>
          <w:szCs w:val="24"/>
        </w:rPr>
        <w:tab/>
      </w:r>
      <w:r w:rsidR="004F00F3">
        <w:rPr>
          <w:sz w:val="24"/>
          <w:szCs w:val="24"/>
        </w:rPr>
        <w:tab/>
        <w:t>(14)</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and</w:t>
      </w:r>
      <w:proofErr w:type="gramEnd"/>
      <w:r w:rsidRPr="00571677">
        <w:rPr>
          <w:sz w:val="24"/>
          <w:szCs w:val="24"/>
        </w:rPr>
        <w:t xml:space="preserve"> write</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2777" w:dyaOrig="811">
          <v:shape id="_x0000_i3269" type="#_x0000_t75" style="width:138.75pt;height:40.5pt" o:ole="">
            <v:imagedata r:id="rId123" o:title=""/>
          </v:shape>
          <o:OLEObject Type="Embed" ProgID="Equation.3" ShapeID="_x0000_i3269" DrawAspect="Content" ObjectID="_1448180093" r:id="rId124"/>
        </w:object>
      </w:r>
      <w:r w:rsidR="004F00F3">
        <w:rPr>
          <w:sz w:val="24"/>
          <w:szCs w:val="24"/>
        </w:rPr>
        <w:tab/>
      </w:r>
      <w:r w:rsidR="004F00F3">
        <w:rPr>
          <w:sz w:val="24"/>
          <w:szCs w:val="24"/>
        </w:rPr>
        <w:tab/>
      </w:r>
      <w:r w:rsidR="004F00F3">
        <w:rPr>
          <w:sz w:val="24"/>
          <w:szCs w:val="24"/>
        </w:rPr>
        <w:tab/>
      </w:r>
      <w:r w:rsidR="004F00F3">
        <w:rPr>
          <w:sz w:val="24"/>
          <w:szCs w:val="24"/>
        </w:rPr>
        <w:tab/>
        <w:t>(15)</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for</w:t>
      </w:r>
      <w:proofErr w:type="gramEnd"/>
      <w:r w:rsidRPr="00571677">
        <w:rPr>
          <w:sz w:val="24"/>
          <w:szCs w:val="24"/>
        </w:rPr>
        <w:t xml:space="preserve"> the standard normal cumulative distribution function.</w:t>
      </w:r>
    </w:p>
    <w:p w:rsidR="00571677" w:rsidRPr="00571677" w:rsidRDefault="00571677" w:rsidP="00203FC7">
      <w:pPr>
        <w:spacing w:line="360" w:lineRule="auto"/>
        <w:jc w:val="both"/>
        <w:rPr>
          <w:sz w:val="24"/>
          <w:szCs w:val="24"/>
        </w:rPr>
      </w:pPr>
      <w:r w:rsidRPr="00571677">
        <w:rPr>
          <w:sz w:val="24"/>
          <w:szCs w:val="24"/>
        </w:rPr>
        <w:t xml:space="preserve">Given a fixed number  </w:t>
      </w:r>
      <w:r w:rsidRPr="00571677">
        <w:rPr>
          <w:position w:val="-5"/>
          <w:sz w:val="24"/>
          <w:szCs w:val="24"/>
        </w:rPr>
        <w:object w:dxaOrig="601" w:dyaOrig="361">
          <v:shape id="_x0000_i3270" type="#_x0000_t75" style="width:30pt;height:18pt" o:ole="">
            <v:imagedata r:id="rId125" o:title=""/>
          </v:shape>
          <o:OLEObject Type="Embed" ProgID="Equation.3" ShapeID="_x0000_i3270" DrawAspect="Content" ObjectID="_1448180094" r:id="rId126"/>
        </w:object>
      </w:r>
      <w:r w:rsidRPr="00571677">
        <w:rPr>
          <w:sz w:val="24"/>
          <w:szCs w:val="24"/>
        </w:rPr>
        <w:t xml:space="preserve">  (the threshold between  </w:t>
      </w:r>
      <w:r w:rsidRPr="00571677">
        <w:rPr>
          <w:position w:val="-5"/>
          <w:sz w:val="24"/>
          <w:szCs w:val="24"/>
        </w:rPr>
        <w:object w:dxaOrig="240" w:dyaOrig="421">
          <v:shape id="_x0000_i3271" type="#_x0000_t75" style="width:12pt;height:21pt" o:ole="">
            <v:imagedata r:id="rId127" o:title=""/>
          </v:shape>
          <o:OLEObject Type="Embed" ProgID="Equation.3" ShapeID="_x0000_i3271" DrawAspect="Content" ObjectID="_1448180095" r:id="rId128"/>
        </w:object>
      </w:r>
      <w:r w:rsidRPr="00571677">
        <w:rPr>
          <w:sz w:val="24"/>
          <w:szCs w:val="24"/>
        </w:rPr>
        <w:t xml:space="preserve">  large for value stock and small for glamour stock), we define another number</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1952" w:dyaOrig="750">
          <v:shape id="_x0000_i3272" type="#_x0000_t75" style="width:97.5pt;height:37.5pt" o:ole="">
            <v:imagedata r:id="rId129" o:title=""/>
          </v:shape>
          <o:OLEObject Type="Embed" ProgID="Equation.3" ShapeID="_x0000_i3272" DrawAspect="Content" ObjectID="_1448180096" r:id="rId130"/>
        </w:object>
      </w:r>
      <w:r w:rsidR="004F00F3">
        <w:rPr>
          <w:sz w:val="24"/>
          <w:szCs w:val="24"/>
        </w:rPr>
        <w:tab/>
      </w:r>
      <w:r w:rsidR="004F00F3">
        <w:rPr>
          <w:sz w:val="24"/>
          <w:szCs w:val="24"/>
        </w:rPr>
        <w:tab/>
      </w:r>
      <w:r w:rsidR="004F00F3">
        <w:rPr>
          <w:sz w:val="24"/>
          <w:szCs w:val="24"/>
        </w:rPr>
        <w:tab/>
      </w:r>
      <w:r w:rsidR="004F00F3">
        <w:rPr>
          <w:sz w:val="24"/>
          <w:szCs w:val="24"/>
        </w:rPr>
        <w:tab/>
      </w:r>
      <w:r w:rsidR="004F00F3">
        <w:rPr>
          <w:sz w:val="24"/>
          <w:szCs w:val="24"/>
        </w:rPr>
        <w:tab/>
        <w:t>(16)</w:t>
      </w:r>
    </w:p>
    <w:p w:rsidR="00571677" w:rsidRPr="00571677" w:rsidRDefault="00571677" w:rsidP="00203FC7">
      <w:pPr>
        <w:spacing w:line="360" w:lineRule="auto"/>
        <w:jc w:val="both"/>
        <w:rPr>
          <w:sz w:val="24"/>
          <w:szCs w:val="24"/>
        </w:rPr>
      </w:pPr>
      <w:r w:rsidRPr="00571677">
        <w:rPr>
          <w:sz w:val="24"/>
          <w:szCs w:val="24"/>
        </w:rPr>
        <w:t xml:space="preserve"> This is needed just to make the following formulae look a bit simpler. This is because</w:t>
      </w:r>
    </w:p>
    <w:p w:rsidR="00571677" w:rsidRPr="00571677" w:rsidRDefault="00571677" w:rsidP="00203FC7">
      <w:pPr>
        <w:spacing w:line="360" w:lineRule="auto"/>
        <w:ind w:left="2160" w:firstLine="720"/>
        <w:jc w:val="both"/>
        <w:rPr>
          <w:sz w:val="24"/>
          <w:szCs w:val="24"/>
        </w:rPr>
      </w:pPr>
      <w:r w:rsidRPr="00571677">
        <w:rPr>
          <w:position w:val="-5"/>
          <w:sz w:val="24"/>
          <w:szCs w:val="24"/>
        </w:rPr>
        <w:object w:dxaOrig="3963" w:dyaOrig="1740">
          <v:shape id="_x0000_i3273" type="#_x0000_t75" style="width:198pt;height:87pt" o:ole="">
            <v:imagedata r:id="rId131" o:title=""/>
          </v:shape>
          <o:OLEObject Type="Embed" ProgID="Equation.3" ShapeID="_x0000_i3273" DrawAspect="Content" ObjectID="_1448180097" r:id="rId132"/>
        </w:object>
      </w:r>
      <w:r w:rsidR="004F00F3">
        <w:rPr>
          <w:sz w:val="24"/>
          <w:szCs w:val="24"/>
        </w:rPr>
        <w:tab/>
      </w:r>
      <w:r w:rsidR="004F00F3">
        <w:rPr>
          <w:sz w:val="24"/>
          <w:szCs w:val="24"/>
        </w:rPr>
        <w:tab/>
        <w:t>(17)</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because</w:t>
      </w:r>
      <w:proofErr w:type="gramEnd"/>
      <w:r w:rsidRPr="00571677">
        <w:rPr>
          <w:sz w:val="24"/>
          <w:szCs w:val="24"/>
        </w:rPr>
        <w:t xml:space="preserve">  </w:t>
      </w:r>
      <w:r w:rsidRPr="00571677">
        <w:rPr>
          <w:position w:val="-5"/>
          <w:sz w:val="24"/>
          <w:szCs w:val="24"/>
        </w:rPr>
        <w:object w:dxaOrig="1081" w:dyaOrig="361">
          <v:shape id="_x0000_i3274" type="#_x0000_t75" style="width:54pt;height:18pt" o:ole="">
            <v:imagedata r:id="rId133" o:title=""/>
          </v:shape>
          <o:OLEObject Type="Embed" ProgID="Equation.3" ShapeID="_x0000_i3274" DrawAspect="Content" ObjectID="_1448180098" r:id="rId134"/>
        </w:object>
      </w:r>
      <w:r w:rsidRPr="00571677">
        <w:rPr>
          <w:sz w:val="24"/>
          <w:szCs w:val="24"/>
        </w:rPr>
        <w:t xml:space="preserve"> , so  </w:t>
      </w:r>
      <w:r w:rsidRPr="00571677">
        <w:rPr>
          <w:position w:val="-5"/>
          <w:sz w:val="24"/>
          <w:szCs w:val="24"/>
        </w:rPr>
        <w:object w:dxaOrig="1186" w:dyaOrig="361">
          <v:shape id="_x0000_i3275" type="#_x0000_t75" style="width:59.25pt;height:18pt" o:ole="">
            <v:imagedata r:id="rId135" o:title=""/>
          </v:shape>
          <o:OLEObject Type="Embed" ProgID="Equation.3" ShapeID="_x0000_i3275" DrawAspect="Content" ObjectID="_1448180099" r:id="rId136"/>
        </w:object>
      </w:r>
      <w:r w:rsidRPr="00571677">
        <w:rPr>
          <w:sz w:val="24"/>
          <w:szCs w:val="24"/>
        </w:rPr>
        <w:t xml:space="preserve">  means that  </w:t>
      </w:r>
      <w:r w:rsidRPr="00571677">
        <w:rPr>
          <w:position w:val="-5"/>
          <w:sz w:val="24"/>
          <w:szCs w:val="24"/>
        </w:rPr>
        <w:object w:dxaOrig="796" w:dyaOrig="361">
          <v:shape id="_x0000_i3276" type="#_x0000_t75" style="width:39.75pt;height:18pt" o:ole="">
            <v:imagedata r:id="rId137" o:title=""/>
          </v:shape>
          <o:OLEObject Type="Embed" ProgID="Equation.3" ShapeID="_x0000_i3276" DrawAspect="Content" ObjectID="_1448180100" r:id="rId138"/>
        </w:object>
      </w:r>
      <w:r w:rsidRPr="00571677">
        <w:rPr>
          <w:sz w:val="24"/>
          <w:szCs w:val="24"/>
        </w:rPr>
        <w:t xml:space="preserve"> .</w:t>
      </w:r>
    </w:p>
    <w:p w:rsidR="00571677" w:rsidRPr="00571677" w:rsidRDefault="00571677" w:rsidP="00203FC7">
      <w:pPr>
        <w:spacing w:line="360" w:lineRule="auto"/>
        <w:jc w:val="both"/>
        <w:rPr>
          <w:sz w:val="24"/>
          <w:szCs w:val="24"/>
        </w:rPr>
      </w:pPr>
      <w:r w:rsidRPr="00571677">
        <w:rPr>
          <w:sz w:val="24"/>
          <w:szCs w:val="24"/>
        </w:rPr>
        <w:t>First we compute</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5463" w:dyaOrig="600">
          <v:shape id="_x0000_i3277" type="#_x0000_t75" style="width:273pt;height:30pt" o:ole="">
            <v:imagedata r:id="rId139" o:title=""/>
          </v:shape>
          <o:OLEObject Type="Embed" ProgID="Equation.3" ShapeID="_x0000_i3277" DrawAspect="Content" ObjectID="_1448180101" r:id="rId140"/>
        </w:object>
      </w:r>
      <w:r w:rsidR="004F00F3">
        <w:rPr>
          <w:sz w:val="24"/>
          <w:szCs w:val="24"/>
        </w:rPr>
        <w:tab/>
        <w:t>(18)</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and</w:t>
      </w:r>
      <w:proofErr w:type="gramEnd"/>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5058" w:dyaOrig="600">
          <v:shape id="_x0000_i3278" type="#_x0000_t75" style="width:252.75pt;height:30pt" o:ole="">
            <v:imagedata r:id="rId141" o:title=""/>
          </v:shape>
          <o:OLEObject Type="Embed" ProgID="Equation.3" ShapeID="_x0000_i3278" DrawAspect="Content" ObjectID="_1448180102" r:id="rId142"/>
        </w:object>
      </w:r>
      <w:r w:rsidR="004F00F3">
        <w:rPr>
          <w:sz w:val="24"/>
          <w:szCs w:val="24"/>
        </w:rPr>
        <w:tab/>
        <w:t>(19)</w:t>
      </w:r>
    </w:p>
    <w:p w:rsidR="00571677" w:rsidRPr="00571677" w:rsidRDefault="00571677" w:rsidP="00203FC7">
      <w:pPr>
        <w:spacing w:line="360" w:lineRule="auto"/>
        <w:jc w:val="both"/>
        <w:rPr>
          <w:sz w:val="24"/>
          <w:szCs w:val="24"/>
        </w:rPr>
      </w:pPr>
      <w:r w:rsidRPr="00571677">
        <w:rPr>
          <w:sz w:val="24"/>
          <w:szCs w:val="24"/>
        </w:rPr>
        <w:t xml:space="preserve"> Next, we compute</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4863" w:dyaOrig="1261">
          <v:shape id="_x0000_i3279" type="#_x0000_t75" style="width:243pt;height:63pt" o:ole="">
            <v:imagedata r:id="rId143" o:title=""/>
          </v:shape>
          <o:OLEObject Type="Embed" ProgID="Equation.3" ShapeID="_x0000_i3279" DrawAspect="Content" ObjectID="_1448180103" r:id="rId144"/>
        </w:object>
      </w:r>
      <w:r w:rsidR="004F00F3">
        <w:rPr>
          <w:sz w:val="24"/>
          <w:szCs w:val="24"/>
        </w:rPr>
        <w:tab/>
      </w:r>
      <w:r w:rsidR="004F00F3">
        <w:rPr>
          <w:sz w:val="24"/>
          <w:szCs w:val="24"/>
        </w:rPr>
        <w:tab/>
        <w:t>(20)</w:t>
      </w:r>
    </w:p>
    <w:p w:rsidR="00571677" w:rsidRPr="00571677" w:rsidRDefault="00571677" w:rsidP="00203FC7">
      <w:pPr>
        <w:spacing w:line="360" w:lineRule="auto"/>
        <w:jc w:val="both"/>
        <w:rPr>
          <w:sz w:val="24"/>
          <w:szCs w:val="24"/>
        </w:rPr>
      </w:pPr>
      <w:r w:rsidRPr="00571677">
        <w:rPr>
          <w:sz w:val="24"/>
          <w:szCs w:val="24"/>
        </w:rPr>
        <w:t xml:space="preserve"> We have already seen that  </w:t>
      </w:r>
      <w:r w:rsidRPr="00571677">
        <w:rPr>
          <w:position w:val="-5"/>
          <w:sz w:val="24"/>
          <w:szCs w:val="24"/>
        </w:rPr>
        <w:object w:dxaOrig="781" w:dyaOrig="361">
          <v:shape id="_x0000_i3280" type="#_x0000_t75" style="width:39pt;height:18pt" o:ole="">
            <v:imagedata r:id="rId145" o:title=""/>
          </v:shape>
          <o:OLEObject Type="Embed" ProgID="Equation.3" ShapeID="_x0000_i3280" DrawAspect="Content" ObjectID="_1448180104" r:id="rId146"/>
        </w:object>
      </w:r>
      <w:r w:rsidRPr="00571677">
        <w:rPr>
          <w:sz w:val="24"/>
          <w:szCs w:val="24"/>
        </w:rPr>
        <w:t xml:space="preserve">  means that  </w:t>
      </w:r>
      <w:r w:rsidRPr="00571677">
        <w:rPr>
          <w:position w:val="-5"/>
          <w:sz w:val="24"/>
          <w:szCs w:val="24"/>
        </w:rPr>
        <w:object w:dxaOrig="796" w:dyaOrig="361">
          <v:shape id="_x0000_i3281" type="#_x0000_t75" style="width:39.75pt;height:18pt" o:ole="">
            <v:imagedata r:id="rId147" o:title=""/>
          </v:shape>
          <o:OLEObject Type="Embed" ProgID="Equation.3" ShapeID="_x0000_i3281" DrawAspect="Content" ObjectID="_1448180105" r:id="rId148"/>
        </w:object>
      </w:r>
      <w:r w:rsidRPr="00571677">
        <w:rPr>
          <w:sz w:val="24"/>
          <w:szCs w:val="24"/>
        </w:rPr>
        <w:t xml:space="preserve"> , so</w:t>
      </w:r>
    </w:p>
    <w:p w:rsidR="00571677" w:rsidRPr="00571677" w:rsidRDefault="00571677" w:rsidP="00203FC7">
      <w:pPr>
        <w:spacing w:line="360" w:lineRule="auto"/>
        <w:ind w:left="720" w:firstLine="720"/>
        <w:jc w:val="both"/>
        <w:rPr>
          <w:sz w:val="24"/>
          <w:szCs w:val="24"/>
        </w:rPr>
      </w:pPr>
      <w:r w:rsidRPr="00571677">
        <w:rPr>
          <w:position w:val="-5"/>
          <w:sz w:val="24"/>
          <w:szCs w:val="24"/>
        </w:rPr>
        <w:object w:dxaOrig="5554" w:dyaOrig="1350">
          <v:shape id="_x0000_i3282" type="#_x0000_t75" style="width:277.5pt;height:67.5pt" o:ole="">
            <v:imagedata r:id="rId149" o:title=""/>
          </v:shape>
          <o:OLEObject Type="Embed" ProgID="Equation.3" ShapeID="_x0000_i3282" DrawAspect="Content" ObjectID="_1448180106" r:id="rId150"/>
        </w:object>
      </w:r>
      <w:r w:rsidR="004F00F3">
        <w:rPr>
          <w:sz w:val="24"/>
          <w:szCs w:val="24"/>
        </w:rPr>
        <w:tab/>
      </w:r>
      <w:r w:rsidR="004F00F3">
        <w:rPr>
          <w:sz w:val="24"/>
          <w:szCs w:val="24"/>
        </w:rPr>
        <w:tab/>
        <w:t>(21)</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and</w:t>
      </w:r>
      <w:proofErr w:type="gramEnd"/>
      <w:r w:rsidRPr="00571677">
        <w:rPr>
          <w:sz w:val="24"/>
          <w:szCs w:val="24"/>
        </w:rPr>
        <w:t xml:space="preserve"> we get</w:t>
      </w:r>
    </w:p>
    <w:p w:rsidR="00571677" w:rsidRPr="00571677" w:rsidRDefault="00571677" w:rsidP="00203FC7">
      <w:pPr>
        <w:spacing w:line="360" w:lineRule="auto"/>
        <w:ind w:firstLine="720"/>
        <w:jc w:val="both"/>
        <w:rPr>
          <w:sz w:val="24"/>
          <w:szCs w:val="24"/>
        </w:rPr>
      </w:pPr>
      <w:r w:rsidRPr="00571677">
        <w:rPr>
          <w:position w:val="-5"/>
          <w:sz w:val="24"/>
          <w:szCs w:val="24"/>
        </w:rPr>
        <w:object w:dxaOrig="6454" w:dyaOrig="841">
          <v:shape id="_x0000_i3283" type="#_x0000_t75" style="width:322.5pt;height:42pt" o:ole="">
            <v:imagedata r:id="rId151" o:title=""/>
          </v:shape>
          <o:OLEObject Type="Embed" ProgID="Equation.3" ShapeID="_x0000_i3283" DrawAspect="Content" ObjectID="_1448180107" r:id="rId152"/>
        </w:object>
      </w:r>
      <w:r w:rsidR="004F00F3">
        <w:rPr>
          <w:sz w:val="24"/>
          <w:szCs w:val="24"/>
        </w:rPr>
        <w:tab/>
      </w:r>
      <w:r w:rsidR="004F00F3">
        <w:rPr>
          <w:sz w:val="24"/>
          <w:szCs w:val="24"/>
        </w:rPr>
        <w:tab/>
        <w:t>(22)</w:t>
      </w:r>
    </w:p>
    <w:p w:rsidR="00571677" w:rsidRPr="00571677" w:rsidRDefault="00571677" w:rsidP="00203FC7">
      <w:pPr>
        <w:spacing w:line="360" w:lineRule="auto"/>
        <w:jc w:val="both"/>
        <w:rPr>
          <w:sz w:val="24"/>
          <w:szCs w:val="24"/>
        </w:rPr>
      </w:pPr>
      <w:r w:rsidRPr="00571677">
        <w:rPr>
          <w:sz w:val="24"/>
          <w:szCs w:val="24"/>
        </w:rPr>
        <w:t xml:space="preserve"> Finally, we use the equality</w:t>
      </w:r>
    </w:p>
    <w:p w:rsidR="00571677" w:rsidRPr="00571677" w:rsidRDefault="00571677" w:rsidP="00203FC7">
      <w:pPr>
        <w:spacing w:line="360" w:lineRule="auto"/>
        <w:ind w:firstLine="720"/>
        <w:jc w:val="both"/>
        <w:rPr>
          <w:sz w:val="24"/>
          <w:szCs w:val="24"/>
        </w:rPr>
      </w:pPr>
      <w:r w:rsidRPr="00571677">
        <w:rPr>
          <w:position w:val="-5"/>
          <w:sz w:val="24"/>
          <w:szCs w:val="24"/>
        </w:rPr>
        <w:object w:dxaOrig="6604" w:dyaOrig="600">
          <v:shape id="_x0000_i3284" type="#_x0000_t75" style="width:330pt;height:30pt" o:ole="">
            <v:imagedata r:id="rId153" o:title=""/>
          </v:shape>
          <o:OLEObject Type="Embed" ProgID="Equation.3" ShapeID="_x0000_i3284" DrawAspect="Content" ObjectID="_1448180108" r:id="rId154"/>
        </w:object>
      </w:r>
      <w:r w:rsidR="004F00F3">
        <w:rPr>
          <w:sz w:val="24"/>
          <w:szCs w:val="24"/>
        </w:rPr>
        <w:tab/>
        <w:t>(23)</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to</w:t>
      </w:r>
      <w:proofErr w:type="gramEnd"/>
      <w:r w:rsidRPr="00571677">
        <w:rPr>
          <w:sz w:val="24"/>
          <w:szCs w:val="24"/>
        </w:rPr>
        <w:t xml:space="preserve"> compute</w:t>
      </w:r>
    </w:p>
    <w:p w:rsidR="00571677" w:rsidRPr="00571677" w:rsidRDefault="00571677" w:rsidP="00203FC7">
      <w:pPr>
        <w:spacing w:line="360" w:lineRule="auto"/>
        <w:ind w:left="720" w:firstLine="720"/>
        <w:jc w:val="both"/>
        <w:rPr>
          <w:sz w:val="24"/>
          <w:szCs w:val="24"/>
        </w:rPr>
      </w:pPr>
      <w:r w:rsidRPr="00571677">
        <w:rPr>
          <w:position w:val="-5"/>
          <w:sz w:val="24"/>
          <w:szCs w:val="24"/>
        </w:rPr>
        <w:object w:dxaOrig="5418" w:dyaOrig="990">
          <v:shape id="_x0000_i3285" type="#_x0000_t75" style="width:270.75pt;height:49.5pt" o:ole="">
            <v:imagedata r:id="rId155" o:title=""/>
          </v:shape>
          <o:OLEObject Type="Embed" ProgID="Equation.3" ShapeID="_x0000_i3285" DrawAspect="Content" ObjectID="_1448180109" r:id="rId156"/>
        </w:object>
      </w:r>
      <w:r w:rsidR="004F00F3">
        <w:rPr>
          <w:sz w:val="24"/>
          <w:szCs w:val="24"/>
        </w:rPr>
        <w:tab/>
      </w:r>
      <w:r w:rsidR="004F00F3">
        <w:rPr>
          <w:sz w:val="24"/>
          <w:szCs w:val="24"/>
        </w:rPr>
        <w:tab/>
        <w:t>(24)</w:t>
      </w:r>
    </w:p>
    <w:p w:rsidR="00571677" w:rsidRPr="00571677" w:rsidRDefault="00571677" w:rsidP="00203FC7">
      <w:pPr>
        <w:spacing w:line="360" w:lineRule="auto"/>
        <w:jc w:val="both"/>
        <w:rPr>
          <w:sz w:val="24"/>
          <w:szCs w:val="24"/>
        </w:rPr>
      </w:pPr>
      <w:r w:rsidRPr="00571677">
        <w:rPr>
          <w:sz w:val="24"/>
          <w:szCs w:val="24"/>
        </w:rPr>
        <w:t xml:space="preserve"> To this end we evaluate</w:t>
      </w:r>
    </w:p>
    <w:p w:rsidR="00571677" w:rsidRPr="00571677" w:rsidRDefault="00571677" w:rsidP="00203FC7">
      <w:pPr>
        <w:spacing w:line="360" w:lineRule="auto"/>
        <w:ind w:left="720" w:firstLine="720"/>
        <w:jc w:val="both"/>
        <w:rPr>
          <w:sz w:val="24"/>
          <w:szCs w:val="24"/>
        </w:rPr>
      </w:pPr>
      <w:r w:rsidRPr="00571677">
        <w:rPr>
          <w:position w:val="-5"/>
          <w:sz w:val="24"/>
          <w:szCs w:val="24"/>
        </w:rPr>
        <w:object w:dxaOrig="4533" w:dyaOrig="1350">
          <v:shape id="_x0000_i3286" type="#_x0000_t75" style="width:226.5pt;height:67.5pt" o:ole="">
            <v:imagedata r:id="rId157" o:title=""/>
          </v:shape>
          <o:OLEObject Type="Embed" ProgID="Equation.3" ShapeID="_x0000_i3286" DrawAspect="Content" ObjectID="_1448180110" r:id="rId158"/>
        </w:object>
      </w:r>
      <w:r w:rsidR="004F00F3">
        <w:rPr>
          <w:sz w:val="24"/>
          <w:szCs w:val="24"/>
        </w:rPr>
        <w:tab/>
      </w:r>
      <w:r w:rsidR="004F00F3">
        <w:rPr>
          <w:sz w:val="24"/>
          <w:szCs w:val="24"/>
        </w:rPr>
        <w:tab/>
      </w:r>
      <w:r w:rsidR="004F00F3">
        <w:rPr>
          <w:sz w:val="24"/>
          <w:szCs w:val="24"/>
        </w:rPr>
        <w:tab/>
        <w:t>(25)</w:t>
      </w:r>
    </w:p>
    <w:p w:rsidR="00571677" w:rsidRPr="00571677" w:rsidRDefault="00571677" w:rsidP="00203FC7">
      <w:pPr>
        <w:spacing w:line="360" w:lineRule="auto"/>
        <w:jc w:val="both"/>
        <w:rPr>
          <w:sz w:val="24"/>
          <w:szCs w:val="24"/>
        </w:rPr>
      </w:pPr>
      <w:r w:rsidRPr="00571677">
        <w:rPr>
          <w:sz w:val="24"/>
          <w:szCs w:val="24"/>
        </w:rPr>
        <w:t xml:space="preserve"> As a result</w:t>
      </w:r>
    </w:p>
    <w:p w:rsidR="00571677" w:rsidRPr="00571677" w:rsidRDefault="00571677" w:rsidP="00203FC7">
      <w:pPr>
        <w:spacing w:line="360" w:lineRule="auto"/>
        <w:jc w:val="both"/>
        <w:rPr>
          <w:sz w:val="24"/>
          <w:szCs w:val="24"/>
        </w:rPr>
      </w:pPr>
      <w:r w:rsidRPr="00571677">
        <w:rPr>
          <w:position w:val="-5"/>
          <w:sz w:val="24"/>
          <w:szCs w:val="24"/>
        </w:rPr>
        <w:object w:dxaOrig="8525" w:dyaOrig="2400">
          <v:shape id="_x0000_i3287" type="#_x0000_t75" style="width:426pt;height:120pt" o:ole="">
            <v:imagedata r:id="rId159" o:title=""/>
          </v:shape>
          <o:OLEObject Type="Embed" ProgID="Equation.3" ShapeID="_x0000_i3287" DrawAspect="Content" ObjectID="_1448180111" r:id="rId160"/>
        </w:object>
      </w:r>
      <w:r w:rsidR="004F00F3">
        <w:rPr>
          <w:sz w:val="24"/>
          <w:szCs w:val="24"/>
        </w:rPr>
        <w:t>(26)</w:t>
      </w:r>
    </w:p>
    <w:p w:rsidR="00571677" w:rsidRPr="00571677" w:rsidRDefault="00571677" w:rsidP="00203FC7">
      <w:pPr>
        <w:spacing w:line="360" w:lineRule="auto"/>
        <w:jc w:val="both"/>
        <w:rPr>
          <w:sz w:val="24"/>
          <w:szCs w:val="24"/>
        </w:rPr>
      </w:pPr>
    </w:p>
    <w:p w:rsidR="00571677" w:rsidRPr="00571677" w:rsidRDefault="00571677" w:rsidP="00203FC7">
      <w:pPr>
        <w:spacing w:line="360" w:lineRule="auto"/>
        <w:jc w:val="both"/>
        <w:rPr>
          <w:sz w:val="24"/>
          <w:szCs w:val="24"/>
        </w:rPr>
      </w:pPr>
    </w:p>
    <w:p w:rsidR="00571677" w:rsidRPr="00571677" w:rsidRDefault="00571677" w:rsidP="00203FC7">
      <w:pPr>
        <w:spacing w:line="360" w:lineRule="auto"/>
        <w:jc w:val="both"/>
        <w:rPr>
          <w:sz w:val="24"/>
          <w:szCs w:val="24"/>
        </w:rPr>
      </w:pPr>
    </w:p>
    <w:p w:rsidR="00571677" w:rsidRPr="00571677" w:rsidRDefault="00571677" w:rsidP="00203FC7">
      <w:pPr>
        <w:spacing w:line="360" w:lineRule="auto"/>
        <w:jc w:val="both"/>
        <w:rPr>
          <w:sz w:val="24"/>
          <w:szCs w:val="24"/>
        </w:rPr>
      </w:pPr>
      <w:r w:rsidRPr="00571677">
        <w:rPr>
          <w:rStyle w:val="Bold"/>
          <w:sz w:val="24"/>
          <w:szCs w:val="24"/>
        </w:rPr>
        <w:t>2.3 Numerical computations</w:t>
      </w:r>
    </w:p>
    <w:p w:rsidR="00571677" w:rsidRPr="00571677" w:rsidRDefault="00571677" w:rsidP="00203FC7">
      <w:pPr>
        <w:spacing w:line="360" w:lineRule="auto"/>
        <w:jc w:val="both"/>
        <w:rPr>
          <w:sz w:val="24"/>
          <w:szCs w:val="24"/>
        </w:rPr>
      </w:pPr>
      <w:r w:rsidRPr="00571677">
        <w:rPr>
          <w:sz w:val="24"/>
          <w:szCs w:val="24"/>
        </w:rPr>
        <w:t xml:space="preserve">The formulae derived </w:t>
      </w:r>
      <w:r w:rsidR="00E06F42">
        <w:rPr>
          <w:sz w:val="24"/>
          <w:szCs w:val="24"/>
        </w:rPr>
        <w:t xml:space="preserve">above </w:t>
      </w:r>
      <w:r w:rsidRPr="00571677">
        <w:rPr>
          <w:sz w:val="24"/>
          <w:szCs w:val="24"/>
        </w:rPr>
        <w:t xml:space="preserve">for the conditional values  </w:t>
      </w:r>
      <w:r w:rsidRPr="00571677">
        <w:rPr>
          <w:position w:val="-5"/>
          <w:sz w:val="24"/>
          <w:szCs w:val="24"/>
        </w:rPr>
        <w:object w:dxaOrig="1321" w:dyaOrig="421">
          <v:shape id="_x0000_i3288" type="#_x0000_t75" style="width:66pt;height:21pt" o:ole="">
            <v:imagedata r:id="rId161" o:title=""/>
          </v:shape>
          <o:OLEObject Type="Embed" ProgID="Equation.3" ShapeID="_x0000_i3288" DrawAspect="Content" ObjectID="_1448180112" r:id="rId162"/>
        </w:object>
      </w:r>
      <w:r w:rsidRPr="00571677">
        <w:rPr>
          <w:sz w:val="24"/>
          <w:szCs w:val="24"/>
        </w:rPr>
        <w:t xml:space="preserve">  and  </w:t>
      </w:r>
      <w:r w:rsidRPr="00571677">
        <w:rPr>
          <w:position w:val="-5"/>
          <w:sz w:val="24"/>
          <w:szCs w:val="24"/>
        </w:rPr>
        <w:object w:dxaOrig="1622" w:dyaOrig="421">
          <v:shape id="_x0000_i3289" type="#_x0000_t75" style="width:81pt;height:21pt" o:ole="">
            <v:imagedata r:id="rId163" o:title=""/>
          </v:shape>
          <o:OLEObject Type="Embed" ProgID="Equation.3" ShapeID="_x0000_i3289" DrawAspect="Content" ObjectID="_1448180113" r:id="rId164"/>
        </w:object>
      </w:r>
      <w:r w:rsidRPr="00571677">
        <w:rPr>
          <w:sz w:val="24"/>
          <w:szCs w:val="24"/>
        </w:rPr>
        <w:t xml:space="preserve">  are used in Table 1. This confirms that</w:t>
      </w:r>
    </w:p>
    <w:p w:rsidR="00571677" w:rsidRPr="00571677" w:rsidRDefault="00571677" w:rsidP="00203FC7">
      <w:pPr>
        <w:spacing w:line="360" w:lineRule="auto"/>
        <w:ind w:left="1440" w:firstLine="720"/>
        <w:jc w:val="both"/>
        <w:rPr>
          <w:sz w:val="24"/>
          <w:szCs w:val="24"/>
        </w:rPr>
      </w:pPr>
      <w:r w:rsidRPr="00571677">
        <w:rPr>
          <w:position w:val="-5"/>
          <w:sz w:val="24"/>
          <w:szCs w:val="24"/>
        </w:rPr>
        <w:object w:dxaOrig="3512" w:dyaOrig="600">
          <v:shape id="_x0000_i3290" type="#_x0000_t75" style="width:175.5pt;height:30pt" o:ole="">
            <v:imagedata r:id="rId165" o:title=""/>
          </v:shape>
          <o:OLEObject Type="Embed" ProgID="Equation.3" ShapeID="_x0000_i3290" DrawAspect="Content" ObjectID="_1448180114" r:id="rId166"/>
        </w:object>
      </w:r>
      <w:r w:rsidR="00AC04C0">
        <w:rPr>
          <w:sz w:val="24"/>
          <w:szCs w:val="24"/>
        </w:rPr>
        <w:tab/>
      </w:r>
      <w:r w:rsidR="00AC04C0">
        <w:rPr>
          <w:sz w:val="24"/>
          <w:szCs w:val="24"/>
        </w:rPr>
        <w:tab/>
      </w:r>
      <w:r w:rsidR="00AC04C0">
        <w:rPr>
          <w:sz w:val="24"/>
          <w:szCs w:val="24"/>
        </w:rPr>
        <w:tab/>
      </w:r>
      <w:r w:rsidR="00AC04C0">
        <w:rPr>
          <w:sz w:val="24"/>
          <w:szCs w:val="24"/>
        </w:rPr>
        <w:tab/>
        <w:t>(27)</w:t>
      </w:r>
    </w:p>
    <w:p w:rsidR="00571677" w:rsidRPr="00571677" w:rsidRDefault="00571677" w:rsidP="00203FC7">
      <w:pPr>
        <w:spacing w:line="360" w:lineRule="auto"/>
        <w:jc w:val="both"/>
        <w:rPr>
          <w:sz w:val="24"/>
          <w:szCs w:val="24"/>
        </w:rPr>
      </w:pPr>
      <w:r w:rsidRPr="00571677">
        <w:rPr>
          <w:sz w:val="24"/>
          <w:szCs w:val="24"/>
        </w:rPr>
        <w:t xml:space="preserve"> </w:t>
      </w:r>
      <w:proofErr w:type="gramStart"/>
      <w:r w:rsidRPr="00571677">
        <w:rPr>
          <w:sz w:val="24"/>
          <w:szCs w:val="24"/>
        </w:rPr>
        <w:t>for</w:t>
      </w:r>
      <w:proofErr w:type="gramEnd"/>
      <w:r w:rsidRPr="00571677">
        <w:rPr>
          <w:sz w:val="24"/>
          <w:szCs w:val="24"/>
        </w:rPr>
        <w:t xml:space="preserve"> any value of the threshold parameter  </w:t>
      </w:r>
      <w:r w:rsidRPr="00571677">
        <w:rPr>
          <w:position w:val="-5"/>
          <w:sz w:val="24"/>
          <w:szCs w:val="24"/>
        </w:rPr>
        <w:object w:dxaOrig="165" w:dyaOrig="361">
          <v:shape id="_x0000_i3291" type="#_x0000_t75" style="width:8.25pt;height:18pt" o:ole="">
            <v:imagedata r:id="rId167" o:title=""/>
          </v:shape>
          <o:OLEObject Type="Embed" ProgID="Equation.3" ShapeID="_x0000_i3291" DrawAspect="Content" ObjectID="_1448180115" r:id="rId168"/>
        </w:object>
      </w:r>
      <w:r w:rsidRPr="00571677">
        <w:rPr>
          <w:sz w:val="24"/>
          <w:szCs w:val="24"/>
        </w:rPr>
        <w:t xml:space="preserve">  separating value and glamour stocks. This provides some theoretical support for the assertion that the </w:t>
      </w:r>
      <w:r w:rsidR="00411827">
        <w:rPr>
          <w:sz w:val="24"/>
          <w:szCs w:val="24"/>
        </w:rPr>
        <w:t>P/</w:t>
      </w:r>
      <w:proofErr w:type="spellStart"/>
      <w:r w:rsidR="00411827">
        <w:rPr>
          <w:sz w:val="24"/>
          <w:szCs w:val="24"/>
        </w:rPr>
        <w:t>E</w:t>
      </w:r>
      <w:r w:rsidRPr="00571677">
        <w:rPr>
          <w:sz w:val="24"/>
          <w:szCs w:val="24"/>
        </w:rPr>
        <w:t>s</w:t>
      </w:r>
      <w:proofErr w:type="spellEnd"/>
      <w:r w:rsidRPr="00571677">
        <w:rPr>
          <w:sz w:val="24"/>
          <w:szCs w:val="24"/>
        </w:rPr>
        <w:t xml:space="preserve"> of value and glamour stocks </w:t>
      </w:r>
      <w:r w:rsidR="00203FC7">
        <w:rPr>
          <w:sz w:val="24"/>
          <w:szCs w:val="24"/>
        </w:rPr>
        <w:t>are likely to evolve differently, but the evolution of the ratio also depends on E which we do not model.</w:t>
      </w:r>
    </w:p>
    <w:p w:rsidR="00CD1178" w:rsidRDefault="00CD1178">
      <w:pPr>
        <w:spacing w:after="0" w:line="240" w:lineRule="auto"/>
        <w:rPr>
          <w:rFonts w:cs="Calibri"/>
          <w:b/>
          <w:sz w:val="24"/>
          <w:szCs w:val="24"/>
        </w:rPr>
      </w:pPr>
    </w:p>
    <w:p w:rsidR="004F00F3" w:rsidRDefault="004F00F3">
      <w:pPr>
        <w:spacing w:after="0" w:line="240" w:lineRule="auto"/>
        <w:rPr>
          <w:rFonts w:cs="Calibri"/>
          <w:b/>
          <w:sz w:val="24"/>
          <w:szCs w:val="24"/>
        </w:rPr>
      </w:pPr>
      <w:r>
        <w:rPr>
          <w:rFonts w:cs="Calibri"/>
          <w:b/>
          <w:sz w:val="24"/>
          <w:szCs w:val="24"/>
        </w:rPr>
        <w:br w:type="page"/>
      </w:r>
    </w:p>
    <w:p w:rsidR="00EC5AD8" w:rsidRPr="00DB620E" w:rsidRDefault="00EC5AD8" w:rsidP="00AE7B5D">
      <w:pPr>
        <w:spacing w:after="0" w:line="360" w:lineRule="auto"/>
        <w:jc w:val="both"/>
        <w:rPr>
          <w:rFonts w:cs="Calibri"/>
          <w:b/>
          <w:sz w:val="24"/>
          <w:szCs w:val="24"/>
        </w:rPr>
      </w:pPr>
      <w:r w:rsidRPr="00DB620E">
        <w:rPr>
          <w:rFonts w:cs="Calibri"/>
          <w:b/>
          <w:sz w:val="24"/>
          <w:szCs w:val="24"/>
        </w:rPr>
        <w:lastRenderedPageBreak/>
        <w:t>3. Data</w:t>
      </w:r>
      <w:r w:rsidR="00C068F1" w:rsidRPr="00DB620E">
        <w:rPr>
          <w:rFonts w:cs="Calibri"/>
          <w:b/>
          <w:sz w:val="24"/>
          <w:szCs w:val="24"/>
        </w:rPr>
        <w:t xml:space="preserve"> and Methodology</w:t>
      </w:r>
    </w:p>
    <w:p w:rsidR="007873FF" w:rsidRPr="00DB620E" w:rsidRDefault="00AF6416" w:rsidP="00AE7B5D">
      <w:pPr>
        <w:pStyle w:val="BodyText3"/>
        <w:spacing w:after="200" w:line="360" w:lineRule="auto"/>
        <w:jc w:val="both"/>
        <w:rPr>
          <w:rFonts w:cs="Calibri"/>
          <w:sz w:val="24"/>
          <w:szCs w:val="24"/>
        </w:rPr>
      </w:pPr>
      <w:r w:rsidRPr="00DB620E">
        <w:rPr>
          <w:rFonts w:cs="Calibri"/>
          <w:sz w:val="24"/>
          <w:szCs w:val="24"/>
        </w:rPr>
        <w:t xml:space="preserve">The initial data consisted of </w:t>
      </w:r>
      <w:r w:rsidR="007873FF" w:rsidRPr="00DB620E">
        <w:rPr>
          <w:rFonts w:cs="Calibri"/>
          <w:sz w:val="24"/>
          <w:szCs w:val="24"/>
        </w:rPr>
        <w:t>the following fields from CRSP/Compusta</w:t>
      </w:r>
      <w:r w:rsidR="007D0E93" w:rsidRPr="00DB620E">
        <w:rPr>
          <w:rFonts w:cs="Calibri"/>
          <w:sz w:val="24"/>
          <w:szCs w:val="24"/>
        </w:rPr>
        <w:t>t</w:t>
      </w:r>
      <w:r w:rsidRPr="00DB620E">
        <w:rPr>
          <w:rFonts w:cs="Calibri"/>
          <w:sz w:val="24"/>
          <w:szCs w:val="24"/>
        </w:rPr>
        <w:t>, annually</w:t>
      </w:r>
      <w:r w:rsidR="007873FF" w:rsidRPr="00DB620E">
        <w:rPr>
          <w:rFonts w:cs="Calibri"/>
          <w:sz w:val="24"/>
          <w:szCs w:val="24"/>
        </w:rPr>
        <w:t xml:space="preserve"> for all US companies, for as long as the data were available. 1951 is </w:t>
      </w:r>
      <w:r w:rsidRPr="00DB620E">
        <w:rPr>
          <w:rFonts w:cs="Calibri"/>
          <w:sz w:val="24"/>
          <w:szCs w:val="24"/>
        </w:rPr>
        <w:t>CRSP/Compustat’s base year</w:t>
      </w:r>
      <w:r w:rsidR="007873FF" w:rsidRPr="00DB620E">
        <w:rPr>
          <w:rFonts w:cs="Calibri"/>
          <w:sz w:val="24"/>
          <w:szCs w:val="24"/>
        </w:rPr>
        <w:t>.</w:t>
      </w:r>
    </w:p>
    <w:p w:rsidR="007873FF" w:rsidRPr="00DB620E" w:rsidRDefault="007873FF" w:rsidP="00AE7B5D">
      <w:pPr>
        <w:pStyle w:val="BodyText3"/>
        <w:spacing w:after="200" w:line="360" w:lineRule="auto"/>
        <w:jc w:val="both"/>
        <w:rPr>
          <w:rFonts w:cs="Calibri"/>
          <w:sz w:val="24"/>
          <w:szCs w:val="24"/>
        </w:rPr>
      </w:pPr>
      <w:r w:rsidRPr="00E009CE">
        <w:rPr>
          <w:rFonts w:cs="Calibri"/>
          <w:b/>
          <w:sz w:val="24"/>
          <w:szCs w:val="24"/>
        </w:rPr>
        <w:t>Ibcom</w:t>
      </w:r>
      <w:r w:rsidRPr="00DB620E">
        <w:rPr>
          <w:rFonts w:cs="Calibri"/>
          <w:sz w:val="24"/>
          <w:szCs w:val="24"/>
        </w:rPr>
        <w:tab/>
      </w:r>
      <w:r w:rsidRPr="00DB620E">
        <w:rPr>
          <w:rFonts w:cs="Calibri"/>
          <w:sz w:val="24"/>
          <w:szCs w:val="24"/>
        </w:rPr>
        <w:tab/>
      </w:r>
      <w:r w:rsidR="00E009CE">
        <w:rPr>
          <w:rFonts w:cs="Calibri"/>
          <w:sz w:val="24"/>
          <w:szCs w:val="24"/>
        </w:rPr>
        <w:t>Income before extraordinary items / available for common stock</w:t>
      </w:r>
    </w:p>
    <w:p w:rsidR="007873FF" w:rsidRPr="00DB620E" w:rsidRDefault="007873FF" w:rsidP="00AE7B5D">
      <w:pPr>
        <w:pStyle w:val="BodyText3"/>
        <w:spacing w:after="200" w:line="360" w:lineRule="auto"/>
        <w:jc w:val="both"/>
        <w:rPr>
          <w:rFonts w:cs="Calibri"/>
          <w:sz w:val="24"/>
          <w:szCs w:val="24"/>
        </w:rPr>
      </w:pPr>
      <w:r w:rsidRPr="00E009CE">
        <w:rPr>
          <w:rFonts w:cs="Calibri"/>
          <w:b/>
          <w:sz w:val="24"/>
          <w:szCs w:val="24"/>
        </w:rPr>
        <w:t>Tcap</w:t>
      </w:r>
      <w:r w:rsidRPr="00DB620E">
        <w:rPr>
          <w:rFonts w:cs="Calibri"/>
          <w:sz w:val="24"/>
          <w:szCs w:val="24"/>
        </w:rPr>
        <w:tab/>
      </w:r>
      <w:r w:rsidRPr="00DB620E">
        <w:rPr>
          <w:rFonts w:cs="Calibri"/>
          <w:sz w:val="24"/>
          <w:szCs w:val="24"/>
        </w:rPr>
        <w:tab/>
        <w:t>Market capitalization</w:t>
      </w:r>
    </w:p>
    <w:p w:rsidR="007873FF" w:rsidRPr="00DB620E" w:rsidRDefault="007873FF" w:rsidP="00AE7B5D">
      <w:pPr>
        <w:pStyle w:val="BodyText3"/>
        <w:spacing w:after="200" w:line="360" w:lineRule="auto"/>
        <w:jc w:val="both"/>
        <w:rPr>
          <w:rFonts w:cs="Calibri"/>
          <w:sz w:val="24"/>
          <w:szCs w:val="24"/>
        </w:rPr>
      </w:pPr>
      <w:r w:rsidRPr="00E009CE">
        <w:rPr>
          <w:rFonts w:cs="Calibri"/>
          <w:b/>
          <w:sz w:val="24"/>
          <w:szCs w:val="24"/>
        </w:rPr>
        <w:t>Ret</w:t>
      </w:r>
      <w:r w:rsidRPr="00DB620E">
        <w:rPr>
          <w:rFonts w:cs="Calibri"/>
          <w:sz w:val="24"/>
          <w:szCs w:val="24"/>
        </w:rPr>
        <w:tab/>
      </w:r>
      <w:r w:rsidRPr="00DB620E">
        <w:rPr>
          <w:rFonts w:cs="Calibri"/>
          <w:sz w:val="24"/>
          <w:szCs w:val="24"/>
        </w:rPr>
        <w:tab/>
      </w:r>
      <w:r w:rsidR="00E009CE">
        <w:rPr>
          <w:rFonts w:cs="Calibri"/>
          <w:sz w:val="24"/>
          <w:szCs w:val="24"/>
        </w:rPr>
        <w:t>R</w:t>
      </w:r>
      <w:r w:rsidRPr="00DB620E">
        <w:rPr>
          <w:rFonts w:cs="Calibri"/>
          <w:sz w:val="24"/>
          <w:szCs w:val="24"/>
        </w:rPr>
        <w:t>eturns</w:t>
      </w:r>
      <w:r w:rsidR="00E009CE">
        <w:rPr>
          <w:rFonts w:cs="Calibri"/>
          <w:sz w:val="24"/>
          <w:szCs w:val="24"/>
        </w:rPr>
        <w:t>, calculated annually.</w:t>
      </w:r>
    </w:p>
    <w:p w:rsidR="007873FF" w:rsidRPr="00DB620E" w:rsidRDefault="007873FF" w:rsidP="00AE7B5D">
      <w:pPr>
        <w:pStyle w:val="BodyText3"/>
        <w:spacing w:after="200" w:line="360" w:lineRule="auto"/>
        <w:jc w:val="both"/>
        <w:rPr>
          <w:rFonts w:cs="Calibri"/>
          <w:sz w:val="24"/>
          <w:szCs w:val="24"/>
        </w:rPr>
      </w:pPr>
    </w:p>
    <w:p w:rsidR="006C3026" w:rsidRPr="00DB620E" w:rsidRDefault="006C3026" w:rsidP="00AE7B5D">
      <w:pPr>
        <w:pStyle w:val="BodyText3"/>
        <w:spacing w:after="200" w:line="360" w:lineRule="auto"/>
        <w:jc w:val="both"/>
        <w:rPr>
          <w:rFonts w:cs="Calibri"/>
          <w:sz w:val="24"/>
          <w:szCs w:val="24"/>
        </w:rPr>
      </w:pPr>
      <w:r w:rsidRPr="00DB620E">
        <w:rPr>
          <w:rFonts w:cs="Calibri"/>
          <w:sz w:val="24"/>
          <w:szCs w:val="24"/>
        </w:rPr>
        <w:t>The availability of earnings, market capitalization and returns data by year can be seen in Chart</w:t>
      </w:r>
      <w:r w:rsidR="00261B40">
        <w:rPr>
          <w:rFonts w:cs="Calibri"/>
          <w:sz w:val="24"/>
          <w:szCs w:val="24"/>
        </w:rPr>
        <w:t>s</w:t>
      </w:r>
      <w:r w:rsidRPr="00DB620E">
        <w:rPr>
          <w:rFonts w:cs="Calibri"/>
          <w:sz w:val="24"/>
          <w:szCs w:val="24"/>
        </w:rPr>
        <w:t xml:space="preserve"> 1</w:t>
      </w:r>
      <w:r w:rsidR="00261B40">
        <w:rPr>
          <w:rFonts w:cs="Calibri"/>
          <w:sz w:val="24"/>
          <w:szCs w:val="24"/>
        </w:rPr>
        <w:t xml:space="preserve"> and 2</w:t>
      </w:r>
      <w:r w:rsidRPr="00DB620E">
        <w:rPr>
          <w:rFonts w:cs="Calibri"/>
          <w:sz w:val="24"/>
          <w:szCs w:val="24"/>
        </w:rPr>
        <w:t>.</w:t>
      </w:r>
    </w:p>
    <w:p w:rsidR="00465B29" w:rsidRPr="00DB620E" w:rsidRDefault="00465B29" w:rsidP="00465B29">
      <w:pPr>
        <w:pStyle w:val="BodyText3"/>
        <w:spacing w:after="200" w:line="360" w:lineRule="auto"/>
        <w:jc w:val="center"/>
        <w:rPr>
          <w:rFonts w:cs="Calibri"/>
          <w:sz w:val="24"/>
          <w:szCs w:val="24"/>
        </w:rPr>
      </w:pPr>
      <w:r w:rsidRPr="00DB620E">
        <w:rPr>
          <w:rFonts w:cs="Calibri"/>
          <w:sz w:val="24"/>
          <w:szCs w:val="24"/>
        </w:rPr>
        <w:t>Chart</w:t>
      </w:r>
      <w:r w:rsidR="00261B40">
        <w:rPr>
          <w:rFonts w:cs="Calibri"/>
          <w:sz w:val="24"/>
          <w:szCs w:val="24"/>
        </w:rPr>
        <w:t>s</w:t>
      </w:r>
      <w:r w:rsidRPr="00DB620E">
        <w:rPr>
          <w:rFonts w:cs="Calibri"/>
          <w:sz w:val="24"/>
          <w:szCs w:val="24"/>
        </w:rPr>
        <w:t xml:space="preserve"> 1 </w:t>
      </w:r>
      <w:r w:rsidR="00261B40">
        <w:rPr>
          <w:rFonts w:cs="Calibri"/>
          <w:sz w:val="24"/>
          <w:szCs w:val="24"/>
        </w:rPr>
        <w:t xml:space="preserve">and 2 </w:t>
      </w:r>
      <w:r w:rsidRPr="00DB620E">
        <w:rPr>
          <w:rFonts w:cs="Calibri"/>
          <w:sz w:val="24"/>
          <w:szCs w:val="24"/>
        </w:rPr>
        <w:t>about here</w:t>
      </w:r>
    </w:p>
    <w:p w:rsidR="00C068F1" w:rsidRPr="00DB620E" w:rsidRDefault="00AF6416" w:rsidP="00AE7B5D">
      <w:pPr>
        <w:pStyle w:val="BodyText3"/>
        <w:spacing w:after="200" w:line="360" w:lineRule="auto"/>
        <w:jc w:val="both"/>
        <w:rPr>
          <w:rFonts w:cs="Calibri"/>
          <w:sz w:val="24"/>
          <w:szCs w:val="24"/>
        </w:rPr>
      </w:pPr>
      <w:r w:rsidRPr="00DB620E">
        <w:rPr>
          <w:rFonts w:cs="Calibri"/>
          <w:sz w:val="24"/>
          <w:szCs w:val="24"/>
        </w:rPr>
        <w:t>As can be seen</w:t>
      </w:r>
      <w:r w:rsidR="00261B40">
        <w:rPr>
          <w:rFonts w:cs="Calibri"/>
          <w:sz w:val="24"/>
          <w:szCs w:val="24"/>
        </w:rPr>
        <w:t>,</w:t>
      </w:r>
      <w:r w:rsidRPr="00DB620E">
        <w:rPr>
          <w:rFonts w:cs="Calibri"/>
          <w:sz w:val="24"/>
          <w:szCs w:val="24"/>
        </w:rPr>
        <w:t xml:space="preserve"> </w:t>
      </w:r>
      <w:r w:rsidR="00261B40">
        <w:rPr>
          <w:rFonts w:cs="Calibri"/>
          <w:sz w:val="24"/>
          <w:szCs w:val="24"/>
        </w:rPr>
        <w:t xml:space="preserve">coverage </w:t>
      </w:r>
      <w:r w:rsidRPr="00DB620E">
        <w:rPr>
          <w:rFonts w:cs="Calibri"/>
          <w:sz w:val="24"/>
          <w:szCs w:val="24"/>
        </w:rPr>
        <w:t>of loss-making companies is minimal up to 1981</w:t>
      </w:r>
      <w:r w:rsidR="00064217" w:rsidRPr="00DB620E">
        <w:rPr>
          <w:rFonts w:cs="Calibri"/>
          <w:sz w:val="24"/>
          <w:szCs w:val="24"/>
        </w:rPr>
        <w:t xml:space="preserve"> but then rises </w:t>
      </w:r>
      <w:r w:rsidR="00261B40">
        <w:rPr>
          <w:rFonts w:cs="Calibri"/>
          <w:sz w:val="24"/>
          <w:szCs w:val="24"/>
        </w:rPr>
        <w:t xml:space="preserve">with some big jumps </w:t>
      </w:r>
      <w:r w:rsidR="00064217" w:rsidRPr="00DB620E">
        <w:rPr>
          <w:rFonts w:cs="Calibri"/>
          <w:sz w:val="24"/>
          <w:szCs w:val="24"/>
        </w:rPr>
        <w:t>through the 1980s</w:t>
      </w:r>
      <w:r w:rsidRPr="00DB620E">
        <w:rPr>
          <w:rFonts w:cs="Calibri"/>
          <w:sz w:val="24"/>
          <w:szCs w:val="24"/>
        </w:rPr>
        <w:t>. Th</w:t>
      </w:r>
      <w:r w:rsidR="00E009CE">
        <w:rPr>
          <w:rFonts w:cs="Calibri"/>
          <w:sz w:val="24"/>
          <w:szCs w:val="24"/>
        </w:rPr>
        <w:t xml:space="preserve">ere is apparently </w:t>
      </w:r>
      <w:r w:rsidRPr="00DB620E">
        <w:rPr>
          <w:rFonts w:cs="Calibri"/>
          <w:sz w:val="24"/>
          <w:szCs w:val="24"/>
        </w:rPr>
        <w:t xml:space="preserve">a </w:t>
      </w:r>
      <w:r w:rsidR="00DB620E">
        <w:rPr>
          <w:rFonts w:cs="Calibri"/>
          <w:sz w:val="24"/>
          <w:szCs w:val="24"/>
        </w:rPr>
        <w:t xml:space="preserve">survivorship </w:t>
      </w:r>
      <w:r w:rsidRPr="00DB620E">
        <w:rPr>
          <w:rFonts w:cs="Calibri"/>
          <w:sz w:val="24"/>
          <w:szCs w:val="24"/>
        </w:rPr>
        <w:t>bias against lo</w:t>
      </w:r>
      <w:r w:rsidR="00465B29" w:rsidRPr="00DB620E">
        <w:rPr>
          <w:rFonts w:cs="Calibri"/>
          <w:sz w:val="24"/>
          <w:szCs w:val="24"/>
        </w:rPr>
        <w:t>s</w:t>
      </w:r>
      <w:r w:rsidRPr="00DB620E">
        <w:rPr>
          <w:rFonts w:cs="Calibri"/>
          <w:sz w:val="24"/>
          <w:szCs w:val="24"/>
        </w:rPr>
        <w:t xml:space="preserve">s-making companies in the early years. </w:t>
      </w:r>
      <w:r w:rsidR="00DB620E">
        <w:rPr>
          <w:rFonts w:cs="Calibri"/>
          <w:sz w:val="24"/>
          <w:szCs w:val="24"/>
        </w:rPr>
        <w:t xml:space="preserve">In 1983 the proportion of loss-makers </w:t>
      </w:r>
      <w:r w:rsidR="00E009CE">
        <w:rPr>
          <w:rFonts w:cs="Calibri"/>
          <w:sz w:val="24"/>
          <w:szCs w:val="24"/>
        </w:rPr>
        <w:t>jumps</w:t>
      </w:r>
      <w:r w:rsidR="00DB620E">
        <w:rPr>
          <w:rFonts w:cs="Calibri"/>
          <w:sz w:val="24"/>
          <w:szCs w:val="24"/>
        </w:rPr>
        <w:t xml:space="preserve"> from 12% to 18% and thereafter never goes below that. Since the possibility of a company becoming a loss-maker has a major effect on expected returns, we calculate all results in this paper using portfolio formation dates 1983-2009. It </w:t>
      </w:r>
      <w:r w:rsidR="00C359FF">
        <w:rPr>
          <w:rFonts w:cs="Calibri"/>
          <w:sz w:val="24"/>
          <w:szCs w:val="24"/>
        </w:rPr>
        <w:t>should however be</w:t>
      </w:r>
      <w:r w:rsidR="00DB620E">
        <w:rPr>
          <w:rFonts w:cs="Calibri"/>
          <w:sz w:val="24"/>
          <w:szCs w:val="24"/>
        </w:rPr>
        <w:t xml:space="preserve"> recognised that some </w:t>
      </w:r>
      <w:r w:rsidR="00C359FF">
        <w:rPr>
          <w:rFonts w:cs="Calibri"/>
          <w:sz w:val="24"/>
          <w:szCs w:val="24"/>
        </w:rPr>
        <w:t xml:space="preserve">loss-maker company/years </w:t>
      </w:r>
      <w:r w:rsidR="00DB620E">
        <w:rPr>
          <w:rFonts w:cs="Calibri"/>
          <w:sz w:val="24"/>
          <w:szCs w:val="24"/>
        </w:rPr>
        <w:t xml:space="preserve">may still be missing from the mid-1980s. </w:t>
      </w:r>
      <w:r w:rsidRPr="00DB620E">
        <w:rPr>
          <w:rFonts w:cs="Calibri"/>
          <w:sz w:val="24"/>
          <w:szCs w:val="24"/>
        </w:rPr>
        <w:t xml:space="preserve">This </w:t>
      </w:r>
      <w:r w:rsidR="00DB620E">
        <w:rPr>
          <w:rFonts w:cs="Calibri"/>
          <w:sz w:val="24"/>
          <w:szCs w:val="24"/>
        </w:rPr>
        <w:t xml:space="preserve">decision to ignore all company/year returns up to 1982 </w:t>
      </w:r>
      <w:r w:rsidRPr="00DB620E">
        <w:rPr>
          <w:rFonts w:cs="Calibri"/>
          <w:sz w:val="24"/>
          <w:szCs w:val="24"/>
        </w:rPr>
        <w:t xml:space="preserve">results in </w:t>
      </w:r>
      <w:r w:rsidR="00DB620E">
        <w:rPr>
          <w:rFonts w:cs="Calibri"/>
          <w:sz w:val="24"/>
          <w:szCs w:val="24"/>
        </w:rPr>
        <w:t xml:space="preserve">the </w:t>
      </w:r>
      <w:r w:rsidRPr="00DB620E">
        <w:rPr>
          <w:rFonts w:cs="Calibri"/>
          <w:sz w:val="24"/>
          <w:szCs w:val="24"/>
        </w:rPr>
        <w:t xml:space="preserve">loss of </w:t>
      </w:r>
      <w:r w:rsidR="00DB620E">
        <w:rPr>
          <w:rFonts w:cs="Calibri"/>
          <w:sz w:val="24"/>
          <w:szCs w:val="24"/>
        </w:rPr>
        <w:t>24,316</w:t>
      </w:r>
      <w:r w:rsidRPr="00DB620E">
        <w:rPr>
          <w:rFonts w:cs="Calibri"/>
          <w:sz w:val="24"/>
          <w:szCs w:val="24"/>
        </w:rPr>
        <w:t xml:space="preserve"> company/years</w:t>
      </w:r>
      <w:r w:rsidR="00DB620E">
        <w:rPr>
          <w:rFonts w:cs="Calibri"/>
          <w:sz w:val="24"/>
          <w:szCs w:val="24"/>
        </w:rPr>
        <w:t>, or</w:t>
      </w:r>
      <w:r w:rsidR="0004406E">
        <w:rPr>
          <w:rFonts w:cs="Calibri"/>
          <w:sz w:val="24"/>
          <w:szCs w:val="24"/>
        </w:rPr>
        <w:t xml:space="preserve"> 18.5% of the total</w:t>
      </w:r>
      <w:r w:rsidR="00261B40">
        <w:rPr>
          <w:rFonts w:cs="Calibri"/>
          <w:sz w:val="24"/>
          <w:szCs w:val="24"/>
        </w:rPr>
        <w:t>, but only 3.7% of the loss-making company/years.</w:t>
      </w:r>
    </w:p>
    <w:p w:rsidR="00AF6416" w:rsidRDefault="00AF6416" w:rsidP="00AE7B5D">
      <w:pPr>
        <w:pStyle w:val="BodyText3"/>
        <w:spacing w:after="200" w:line="360" w:lineRule="auto"/>
        <w:jc w:val="both"/>
        <w:rPr>
          <w:rFonts w:cs="Calibri"/>
          <w:sz w:val="24"/>
          <w:szCs w:val="24"/>
        </w:rPr>
      </w:pPr>
      <w:r w:rsidRPr="00DB620E">
        <w:rPr>
          <w:rFonts w:cs="Calibri"/>
          <w:sz w:val="24"/>
          <w:szCs w:val="24"/>
        </w:rPr>
        <w:t xml:space="preserve">Taking </w:t>
      </w:r>
      <w:r w:rsidR="00E009CE">
        <w:rPr>
          <w:rFonts w:cs="Calibri"/>
          <w:sz w:val="24"/>
          <w:szCs w:val="24"/>
        </w:rPr>
        <w:t xml:space="preserve">annual </w:t>
      </w:r>
      <w:r w:rsidRPr="00DB620E">
        <w:rPr>
          <w:rFonts w:cs="Calibri"/>
          <w:sz w:val="24"/>
          <w:szCs w:val="24"/>
        </w:rPr>
        <w:t>earnings from 198</w:t>
      </w:r>
      <w:r w:rsidR="00C359FF">
        <w:rPr>
          <w:rFonts w:cs="Calibri"/>
          <w:sz w:val="24"/>
          <w:szCs w:val="24"/>
        </w:rPr>
        <w:t>3</w:t>
      </w:r>
      <w:r w:rsidRPr="00DB620E">
        <w:rPr>
          <w:rFonts w:cs="Calibri"/>
          <w:sz w:val="24"/>
          <w:szCs w:val="24"/>
        </w:rPr>
        <w:t xml:space="preserve"> </w:t>
      </w:r>
      <w:r w:rsidR="00465B29" w:rsidRPr="00DB620E">
        <w:rPr>
          <w:rFonts w:cs="Calibri"/>
          <w:sz w:val="24"/>
          <w:szCs w:val="24"/>
        </w:rPr>
        <w:t>overall</w:t>
      </w:r>
      <w:r w:rsidRPr="00DB620E">
        <w:rPr>
          <w:rFonts w:cs="Calibri"/>
          <w:sz w:val="24"/>
          <w:szCs w:val="24"/>
        </w:rPr>
        <w:t xml:space="preserve">, </w:t>
      </w:r>
      <w:r w:rsidR="00C359FF">
        <w:rPr>
          <w:rFonts w:cs="Calibri"/>
          <w:sz w:val="24"/>
          <w:szCs w:val="24"/>
        </w:rPr>
        <w:t>34.1</w:t>
      </w:r>
      <w:r w:rsidRPr="00DB620E">
        <w:rPr>
          <w:rFonts w:cs="Calibri"/>
          <w:sz w:val="24"/>
          <w:szCs w:val="24"/>
        </w:rPr>
        <w:t xml:space="preserve">% of </w:t>
      </w:r>
      <w:r w:rsidR="00E009CE">
        <w:rPr>
          <w:rFonts w:cs="Calibri"/>
          <w:sz w:val="24"/>
          <w:szCs w:val="24"/>
        </w:rPr>
        <w:t xml:space="preserve">the </w:t>
      </w:r>
      <w:r w:rsidRPr="00DB620E">
        <w:rPr>
          <w:rFonts w:cs="Calibri"/>
          <w:sz w:val="24"/>
          <w:szCs w:val="24"/>
        </w:rPr>
        <w:t>compan</w:t>
      </w:r>
      <w:r w:rsidR="00E009CE">
        <w:rPr>
          <w:rFonts w:cs="Calibri"/>
          <w:sz w:val="24"/>
          <w:szCs w:val="24"/>
        </w:rPr>
        <w:t>y/year data points represent</w:t>
      </w:r>
      <w:r w:rsidR="00C359FF">
        <w:rPr>
          <w:rFonts w:cs="Calibri"/>
          <w:sz w:val="24"/>
          <w:szCs w:val="24"/>
        </w:rPr>
        <w:t xml:space="preserve"> losses</w:t>
      </w:r>
      <w:r w:rsidRPr="00DB620E">
        <w:rPr>
          <w:rFonts w:cs="Calibri"/>
          <w:sz w:val="24"/>
          <w:szCs w:val="24"/>
        </w:rPr>
        <w:t xml:space="preserve">. Almost all papers investigating the P/E ignore such companies, </w:t>
      </w:r>
      <w:r w:rsidR="003D1D6D">
        <w:rPr>
          <w:rFonts w:cs="Calibri"/>
          <w:sz w:val="24"/>
          <w:szCs w:val="24"/>
        </w:rPr>
        <w:t>because the meaning of a negative P/E is problematic. A positive P/E can be rationalised as “this is how many years' earnings investors are prepared to pay for this company”, but that does not apply if the company is making losses. However, occasional periods of losses are</w:t>
      </w:r>
      <w:r w:rsidRPr="00DB620E">
        <w:rPr>
          <w:rFonts w:cs="Calibri"/>
          <w:sz w:val="24"/>
          <w:szCs w:val="24"/>
        </w:rPr>
        <w:t xml:space="preserve"> an important part of the evolution of any company’s P/E through time. When forming P/E deciles, </w:t>
      </w:r>
      <w:r w:rsidR="00DB620E">
        <w:rPr>
          <w:rFonts w:cs="Calibri"/>
          <w:sz w:val="24"/>
          <w:szCs w:val="24"/>
        </w:rPr>
        <w:t xml:space="preserve">we </w:t>
      </w:r>
      <w:r w:rsidRPr="00DB620E">
        <w:rPr>
          <w:rFonts w:cs="Calibri"/>
          <w:sz w:val="24"/>
          <w:szCs w:val="24"/>
        </w:rPr>
        <w:t xml:space="preserve">therefore divide </w:t>
      </w:r>
      <w:r w:rsidR="00C359FF">
        <w:rPr>
          <w:rFonts w:cs="Calibri"/>
          <w:sz w:val="24"/>
          <w:szCs w:val="24"/>
        </w:rPr>
        <w:t xml:space="preserve">these </w:t>
      </w:r>
      <w:r w:rsidRPr="00DB620E">
        <w:rPr>
          <w:rFonts w:cs="Calibri"/>
          <w:sz w:val="24"/>
          <w:szCs w:val="24"/>
        </w:rPr>
        <w:t>negative P/Es into f</w:t>
      </w:r>
      <w:r w:rsidR="00C359FF">
        <w:rPr>
          <w:rFonts w:cs="Calibri"/>
          <w:sz w:val="24"/>
          <w:szCs w:val="24"/>
        </w:rPr>
        <w:t>ive</w:t>
      </w:r>
      <w:r w:rsidRPr="00DB620E">
        <w:rPr>
          <w:rFonts w:cs="Calibri"/>
          <w:sz w:val="24"/>
          <w:szCs w:val="24"/>
        </w:rPr>
        <w:t xml:space="preserve"> extra ‘deciles’, making 1</w:t>
      </w:r>
      <w:r w:rsidR="00C359FF">
        <w:rPr>
          <w:rFonts w:cs="Calibri"/>
          <w:sz w:val="24"/>
          <w:szCs w:val="24"/>
        </w:rPr>
        <w:t>5</w:t>
      </w:r>
      <w:r w:rsidRPr="00DB620E">
        <w:rPr>
          <w:rFonts w:cs="Calibri"/>
          <w:sz w:val="24"/>
          <w:szCs w:val="24"/>
        </w:rPr>
        <w:t xml:space="preserve"> bins in total. </w:t>
      </w:r>
      <w:r w:rsidR="00F07A93">
        <w:rPr>
          <w:rFonts w:cs="Calibri"/>
          <w:sz w:val="24"/>
          <w:szCs w:val="24"/>
        </w:rPr>
        <w:t xml:space="preserve">(For </w:t>
      </w:r>
      <w:r w:rsidR="00B75408">
        <w:rPr>
          <w:rFonts w:cs="Calibri"/>
          <w:sz w:val="24"/>
          <w:szCs w:val="24"/>
        </w:rPr>
        <w:t>simplicity</w:t>
      </w:r>
      <w:r w:rsidR="00F07A93">
        <w:rPr>
          <w:rFonts w:cs="Calibri"/>
          <w:sz w:val="24"/>
          <w:szCs w:val="24"/>
        </w:rPr>
        <w:t xml:space="preserve"> we continue to refer to these bins as deciles in the remainder of this paper, although there are 15 of them including the loss-makers.) </w:t>
      </w:r>
      <w:r w:rsidRPr="00DB620E">
        <w:rPr>
          <w:rFonts w:cs="Calibri"/>
          <w:sz w:val="24"/>
          <w:szCs w:val="24"/>
        </w:rPr>
        <w:t xml:space="preserve">This should not be taken as </w:t>
      </w:r>
      <w:r w:rsidRPr="00DB620E">
        <w:rPr>
          <w:rFonts w:cs="Calibri"/>
          <w:sz w:val="24"/>
          <w:szCs w:val="24"/>
        </w:rPr>
        <w:lastRenderedPageBreak/>
        <w:t>implying that a negative P/E has any particular meaning, only that such companies should not be excluded from the analysis.</w:t>
      </w:r>
    </w:p>
    <w:p w:rsidR="003D1D6D" w:rsidRDefault="003D1D6D" w:rsidP="00AE7B5D">
      <w:pPr>
        <w:pStyle w:val="BodyText3"/>
        <w:spacing w:after="200" w:line="360" w:lineRule="auto"/>
        <w:jc w:val="both"/>
        <w:rPr>
          <w:rFonts w:cs="Calibri"/>
          <w:sz w:val="24"/>
          <w:szCs w:val="24"/>
        </w:rPr>
      </w:pPr>
      <w:r>
        <w:rPr>
          <w:rFonts w:cs="Calibri"/>
          <w:sz w:val="24"/>
          <w:szCs w:val="24"/>
        </w:rPr>
        <w:t xml:space="preserve">For each company/year from 1983 that has an Ibcom figure and a market capitalization (Tcap), we calculate the E/P </w:t>
      </w:r>
      <w:r w:rsidR="00FB4F5A">
        <w:rPr>
          <w:rFonts w:cs="Calibri"/>
          <w:sz w:val="24"/>
          <w:szCs w:val="24"/>
        </w:rPr>
        <w:t xml:space="preserve">at the company level </w:t>
      </w:r>
      <w:r>
        <w:rPr>
          <w:rFonts w:cs="Calibri"/>
          <w:sz w:val="24"/>
          <w:szCs w:val="24"/>
        </w:rPr>
        <w:t>as</w:t>
      </w:r>
    </w:p>
    <w:p w:rsidR="003D1D6D" w:rsidRDefault="00805607" w:rsidP="00805607">
      <w:pPr>
        <w:pStyle w:val="BodyText3"/>
        <w:spacing w:after="200" w:line="360" w:lineRule="auto"/>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sidR="003D1D6D" w:rsidRPr="003D1D6D">
        <w:rPr>
          <w:rFonts w:cs="Calibri"/>
          <w:position w:val="-28"/>
          <w:sz w:val="24"/>
          <w:szCs w:val="24"/>
        </w:rPr>
        <w:object w:dxaOrig="1840" w:dyaOrig="660">
          <v:shape id="_x0000_i1028" type="#_x0000_t75" style="width:92.25pt;height:33pt" o:ole="">
            <v:imagedata r:id="rId169" o:title=""/>
          </v:shape>
          <o:OLEObject Type="Embed" ProgID="Equation.3" ShapeID="_x0000_i1028" DrawAspect="Content" ObjectID="_1448180116" r:id="rId170"/>
        </w:object>
      </w:r>
      <w:r>
        <w:rPr>
          <w:rFonts w:cs="Calibri"/>
          <w:sz w:val="24"/>
          <w:szCs w:val="24"/>
        </w:rPr>
        <w:tab/>
      </w:r>
      <w:r>
        <w:rPr>
          <w:rFonts w:cs="Calibri"/>
          <w:sz w:val="24"/>
          <w:szCs w:val="24"/>
        </w:rPr>
        <w:tab/>
      </w:r>
      <w:r>
        <w:rPr>
          <w:rFonts w:cs="Calibri"/>
          <w:sz w:val="24"/>
          <w:szCs w:val="24"/>
        </w:rPr>
        <w:tab/>
      </w:r>
      <w:r w:rsidR="00B75408">
        <w:rPr>
          <w:rFonts w:cs="Calibri"/>
          <w:sz w:val="24"/>
          <w:szCs w:val="24"/>
        </w:rPr>
        <w:tab/>
      </w:r>
      <w:r w:rsidR="00B75408">
        <w:rPr>
          <w:rFonts w:cs="Calibri"/>
          <w:sz w:val="24"/>
          <w:szCs w:val="24"/>
        </w:rPr>
        <w:tab/>
      </w:r>
      <w:r w:rsidR="00203FC7">
        <w:rPr>
          <w:rFonts w:cs="Calibri"/>
          <w:sz w:val="24"/>
          <w:szCs w:val="24"/>
        </w:rPr>
        <w:t>(</w:t>
      </w:r>
      <w:r w:rsidR="00B75408">
        <w:rPr>
          <w:rFonts w:cs="Calibri"/>
          <w:sz w:val="24"/>
          <w:szCs w:val="24"/>
        </w:rPr>
        <w:t>2</w:t>
      </w:r>
      <w:r w:rsidR="00203FC7">
        <w:rPr>
          <w:rFonts w:cs="Calibri"/>
          <w:sz w:val="24"/>
          <w:szCs w:val="24"/>
        </w:rPr>
        <w:t>8)</w:t>
      </w:r>
    </w:p>
    <w:p w:rsidR="00FB4F5A" w:rsidRDefault="00FB4F5A" w:rsidP="003D1D6D">
      <w:pPr>
        <w:pStyle w:val="BodyText3"/>
        <w:spacing w:after="200" w:line="360" w:lineRule="auto"/>
        <w:jc w:val="both"/>
        <w:rPr>
          <w:rFonts w:cs="Calibri"/>
          <w:sz w:val="24"/>
          <w:szCs w:val="24"/>
        </w:rPr>
      </w:pPr>
      <w:r>
        <w:rPr>
          <w:rFonts w:cs="Calibri"/>
          <w:sz w:val="24"/>
          <w:szCs w:val="24"/>
        </w:rPr>
        <w:t xml:space="preserve">The 1,000 factor is because Ibcom is quoted in thousands but </w:t>
      </w:r>
      <w:proofErr w:type="spellStart"/>
      <w:r>
        <w:rPr>
          <w:rFonts w:cs="Calibri"/>
          <w:sz w:val="24"/>
          <w:szCs w:val="24"/>
        </w:rPr>
        <w:t>Tcap</w:t>
      </w:r>
      <w:proofErr w:type="spellEnd"/>
      <w:r>
        <w:rPr>
          <w:rFonts w:cs="Calibri"/>
          <w:sz w:val="24"/>
          <w:szCs w:val="24"/>
        </w:rPr>
        <w:t xml:space="preserve"> </w:t>
      </w:r>
      <w:r w:rsidR="00203FC7">
        <w:rPr>
          <w:rFonts w:cs="Calibri"/>
          <w:sz w:val="24"/>
          <w:szCs w:val="24"/>
        </w:rPr>
        <w:t xml:space="preserve">is </w:t>
      </w:r>
      <w:r>
        <w:rPr>
          <w:rFonts w:cs="Calibri"/>
          <w:sz w:val="24"/>
          <w:szCs w:val="24"/>
        </w:rPr>
        <w:t xml:space="preserve">in millions. </w:t>
      </w:r>
    </w:p>
    <w:p w:rsidR="00EA0843" w:rsidRDefault="003D1D6D" w:rsidP="003D1D6D">
      <w:pPr>
        <w:pStyle w:val="BodyText3"/>
        <w:spacing w:after="200" w:line="360" w:lineRule="auto"/>
        <w:jc w:val="both"/>
        <w:rPr>
          <w:rFonts w:cs="Calibri"/>
          <w:sz w:val="24"/>
          <w:szCs w:val="24"/>
        </w:rPr>
      </w:pPr>
      <w:r>
        <w:rPr>
          <w:rFonts w:cs="Calibri"/>
          <w:sz w:val="24"/>
          <w:szCs w:val="24"/>
        </w:rPr>
        <w:t>We next apportion decile limits: five bins for the loss-makers in any particular year and ten bins for profitable companies.</w:t>
      </w:r>
      <w:r w:rsidR="00EA0843">
        <w:rPr>
          <w:rFonts w:cs="Calibri"/>
          <w:sz w:val="24"/>
          <w:szCs w:val="24"/>
        </w:rPr>
        <w:t xml:space="preserve"> </w:t>
      </w:r>
      <w:r w:rsidR="00FB4F5A">
        <w:rPr>
          <w:rFonts w:cs="Calibri"/>
          <w:sz w:val="24"/>
          <w:szCs w:val="24"/>
        </w:rPr>
        <w:t xml:space="preserve">This </w:t>
      </w:r>
      <w:r w:rsidR="00F67B09">
        <w:rPr>
          <w:rFonts w:cs="Calibri"/>
          <w:sz w:val="24"/>
          <w:szCs w:val="24"/>
        </w:rPr>
        <w:t xml:space="preserve">5:10 </w:t>
      </w:r>
      <w:r w:rsidR="00FB4F5A">
        <w:rPr>
          <w:rFonts w:cs="Calibri"/>
          <w:sz w:val="24"/>
          <w:szCs w:val="24"/>
        </w:rPr>
        <w:t xml:space="preserve">ratio is chosen because loss-making company/years form 34.1% of the total over all years. </w:t>
      </w:r>
      <w:r w:rsidR="00EA0843">
        <w:rPr>
          <w:rFonts w:cs="Calibri"/>
          <w:sz w:val="24"/>
          <w:szCs w:val="24"/>
        </w:rPr>
        <w:t>For each year, decile numbers are assigned as 01 - 05 for loss-makers and 06</w:t>
      </w:r>
      <w:r w:rsidR="00FB4F5A">
        <w:rPr>
          <w:rFonts w:cs="Calibri"/>
          <w:sz w:val="24"/>
          <w:szCs w:val="24"/>
        </w:rPr>
        <w:t xml:space="preserve"> </w:t>
      </w:r>
      <w:r w:rsidR="00EA0843">
        <w:rPr>
          <w:rFonts w:cs="Calibri"/>
          <w:sz w:val="24"/>
          <w:szCs w:val="24"/>
        </w:rPr>
        <w:t>-</w:t>
      </w:r>
      <w:r w:rsidR="00FB4F5A">
        <w:rPr>
          <w:rFonts w:cs="Calibri"/>
          <w:sz w:val="24"/>
          <w:szCs w:val="24"/>
        </w:rPr>
        <w:t xml:space="preserve"> </w:t>
      </w:r>
      <w:r w:rsidR="00EA0843">
        <w:rPr>
          <w:rFonts w:cs="Calibri"/>
          <w:sz w:val="24"/>
          <w:szCs w:val="24"/>
        </w:rPr>
        <w:t xml:space="preserve">15 for profitable companies. Thus glamour companies with the highest P/E </w:t>
      </w:r>
      <w:r w:rsidR="00FB4F5A">
        <w:rPr>
          <w:rFonts w:cs="Calibri"/>
          <w:sz w:val="24"/>
          <w:szCs w:val="24"/>
        </w:rPr>
        <w:t>(</w:t>
      </w:r>
      <w:r w:rsidR="00EA0843">
        <w:rPr>
          <w:rFonts w:cs="Calibri"/>
          <w:sz w:val="24"/>
          <w:szCs w:val="24"/>
        </w:rPr>
        <w:t>lowest E/P</w:t>
      </w:r>
      <w:r w:rsidR="00FB4F5A">
        <w:rPr>
          <w:rFonts w:cs="Calibri"/>
          <w:sz w:val="24"/>
          <w:szCs w:val="24"/>
        </w:rPr>
        <w:t>)</w:t>
      </w:r>
      <w:r w:rsidR="00EA0843">
        <w:rPr>
          <w:rFonts w:cs="Calibri"/>
          <w:sz w:val="24"/>
          <w:szCs w:val="24"/>
        </w:rPr>
        <w:t xml:space="preserve"> fall </w:t>
      </w:r>
      <w:r w:rsidR="00FB4F5A">
        <w:rPr>
          <w:rFonts w:cs="Calibri"/>
          <w:sz w:val="24"/>
          <w:szCs w:val="24"/>
        </w:rPr>
        <w:t>i</w:t>
      </w:r>
      <w:r w:rsidR="00EA0843">
        <w:rPr>
          <w:rFonts w:cs="Calibri"/>
          <w:sz w:val="24"/>
          <w:szCs w:val="24"/>
        </w:rPr>
        <w:t xml:space="preserve">nto decile 6 each year and value companies, with the lowest P/E (highest E/P) into decile 15. Since the proportion of loss-makers is different each year, the number of companies in each of the five loss-maker bins will be different from the number of companies in the ten profitable bins. However, the dividing line between making a profit and making a loss seems </w:t>
      </w:r>
      <w:r w:rsidR="00FB4F5A">
        <w:rPr>
          <w:rFonts w:cs="Calibri"/>
          <w:sz w:val="24"/>
          <w:szCs w:val="24"/>
        </w:rPr>
        <w:t>more important than making all bins the same size and allowing the zero line to move from decile to decile over the years.</w:t>
      </w:r>
      <w:r w:rsidR="00EA0843">
        <w:rPr>
          <w:rFonts w:cs="Calibri"/>
          <w:sz w:val="24"/>
          <w:szCs w:val="24"/>
        </w:rPr>
        <w:t xml:space="preserve"> </w:t>
      </w:r>
    </w:p>
    <w:p w:rsidR="00EA0843" w:rsidRDefault="00B75408" w:rsidP="00EA0843">
      <w:pPr>
        <w:pStyle w:val="BodyText3"/>
        <w:spacing w:after="200" w:line="360" w:lineRule="auto"/>
        <w:jc w:val="both"/>
        <w:rPr>
          <w:rFonts w:cs="Calibri"/>
          <w:sz w:val="24"/>
          <w:szCs w:val="24"/>
        </w:rPr>
      </w:pPr>
      <w:r>
        <w:rPr>
          <w:rFonts w:cs="Calibri"/>
          <w:sz w:val="24"/>
          <w:szCs w:val="24"/>
        </w:rPr>
        <w:t xml:space="preserve">Next, we pair each year’s </w:t>
      </w:r>
      <w:r w:rsidR="00EA0843">
        <w:rPr>
          <w:rFonts w:cs="Calibri"/>
          <w:sz w:val="24"/>
          <w:szCs w:val="24"/>
        </w:rPr>
        <w:t xml:space="preserve">decile number </w:t>
      </w:r>
      <w:r>
        <w:rPr>
          <w:rFonts w:cs="Calibri"/>
          <w:sz w:val="24"/>
          <w:szCs w:val="24"/>
        </w:rPr>
        <w:t>w</w:t>
      </w:r>
      <w:r w:rsidR="00EA0843">
        <w:rPr>
          <w:rFonts w:cs="Calibri"/>
          <w:sz w:val="24"/>
          <w:szCs w:val="24"/>
        </w:rPr>
        <w:t>ith the decile the company moved to in the following year. If there were no earnings recorded the following year, decile ‘00’ is coded, as the company went into administration, was taken over or otherwise ceased to be quoted. There are thus 15 bins in year 1 and 16 bins in year 2, giving 15*16=240 possible transitions from one year to the next.</w:t>
      </w:r>
    </w:p>
    <w:p w:rsidR="00EA0843" w:rsidRDefault="00B75408" w:rsidP="00EA0843">
      <w:pPr>
        <w:pStyle w:val="BodyText3"/>
        <w:spacing w:after="200" w:line="360" w:lineRule="auto"/>
        <w:jc w:val="both"/>
        <w:rPr>
          <w:rFonts w:cs="Calibri"/>
          <w:sz w:val="24"/>
          <w:szCs w:val="24"/>
        </w:rPr>
      </w:pPr>
      <w:r>
        <w:rPr>
          <w:rFonts w:cs="Calibri"/>
          <w:sz w:val="24"/>
          <w:szCs w:val="24"/>
        </w:rPr>
        <w:t>Finally, we calculate the</w:t>
      </w:r>
      <w:r w:rsidR="00895960">
        <w:rPr>
          <w:rFonts w:cs="Calibri"/>
          <w:sz w:val="24"/>
          <w:szCs w:val="24"/>
        </w:rPr>
        <w:t xml:space="preserve"> equally-weighted return from each of these 240 possibl</w:t>
      </w:r>
      <w:r>
        <w:rPr>
          <w:rFonts w:cs="Calibri"/>
          <w:sz w:val="24"/>
          <w:szCs w:val="24"/>
        </w:rPr>
        <w:t>e transitions</w:t>
      </w:r>
      <w:r w:rsidR="00895960">
        <w:rPr>
          <w:rFonts w:cs="Calibri"/>
          <w:sz w:val="24"/>
          <w:szCs w:val="24"/>
        </w:rPr>
        <w:t>.</w:t>
      </w:r>
      <w:r w:rsidR="00FB4F5A">
        <w:rPr>
          <w:rFonts w:cs="Calibri"/>
          <w:sz w:val="24"/>
          <w:szCs w:val="24"/>
        </w:rPr>
        <w:t xml:space="preserve"> Transitions will be more popular in some years than others. For example, 2002 saw a peak in losses as the dot-com bubble burst, with 49.5% of companies reporting losses. </w:t>
      </w:r>
      <w:r w:rsidR="00685AC5">
        <w:rPr>
          <w:rFonts w:cs="Calibri"/>
          <w:sz w:val="24"/>
          <w:szCs w:val="24"/>
        </w:rPr>
        <w:t xml:space="preserve">In 2001-2 99 companies went from the glamour decile to making losses, whereas in 2002-3 only 60 did. For this reason we calculate the average return for each transition for each year, then average those figures over all years. The alternative would be to take all </w:t>
      </w:r>
      <w:r w:rsidR="00685AC5">
        <w:rPr>
          <w:rFonts w:cs="Calibri"/>
          <w:sz w:val="24"/>
          <w:szCs w:val="24"/>
        </w:rPr>
        <w:lastRenderedPageBreak/>
        <w:t>company/years for a particular transition together and average them, but that would give 2001-2 in the example above 65% more weight than 2002-3.</w:t>
      </w:r>
    </w:p>
    <w:p w:rsidR="00685AC5" w:rsidRDefault="00B75408" w:rsidP="00EA0843">
      <w:pPr>
        <w:pStyle w:val="BodyText3"/>
        <w:spacing w:after="200" w:line="360" w:lineRule="auto"/>
        <w:jc w:val="both"/>
        <w:rPr>
          <w:rFonts w:cs="Calibri"/>
          <w:sz w:val="24"/>
          <w:szCs w:val="24"/>
        </w:rPr>
      </w:pPr>
      <w:r>
        <w:rPr>
          <w:rFonts w:cs="Calibri"/>
          <w:sz w:val="24"/>
          <w:szCs w:val="24"/>
        </w:rPr>
        <w:tab/>
      </w:r>
      <w:r>
        <w:rPr>
          <w:rFonts w:cs="Calibri"/>
          <w:sz w:val="24"/>
          <w:szCs w:val="24"/>
        </w:rPr>
        <w:tab/>
      </w:r>
      <w:r>
        <w:rPr>
          <w:rFonts w:cs="Calibri"/>
          <w:sz w:val="24"/>
          <w:szCs w:val="24"/>
        </w:rPr>
        <w:tab/>
      </w:r>
      <w:r w:rsidR="006130D9" w:rsidRPr="00685AC5">
        <w:rPr>
          <w:rFonts w:cs="Calibri"/>
          <w:position w:val="-30"/>
          <w:sz w:val="24"/>
          <w:szCs w:val="24"/>
        </w:rPr>
        <w:object w:dxaOrig="4099" w:dyaOrig="1020">
          <v:shape id="_x0000_i1029" type="#_x0000_t75" style="width:204pt;height:51pt" o:ole="">
            <v:imagedata r:id="rId171" o:title=""/>
          </v:shape>
          <o:OLEObject Type="Embed" ProgID="Equation.3" ShapeID="_x0000_i1029" DrawAspect="Content" ObjectID="_1448180117" r:id="rId172"/>
        </w:object>
      </w:r>
      <w:r>
        <w:rPr>
          <w:rFonts w:cs="Calibri"/>
          <w:sz w:val="24"/>
          <w:szCs w:val="24"/>
        </w:rPr>
        <w:tab/>
      </w:r>
      <w:r>
        <w:rPr>
          <w:rFonts w:cs="Calibri"/>
          <w:sz w:val="24"/>
          <w:szCs w:val="24"/>
        </w:rPr>
        <w:tab/>
      </w:r>
      <w:r>
        <w:rPr>
          <w:rFonts w:cs="Calibri"/>
          <w:sz w:val="24"/>
          <w:szCs w:val="24"/>
        </w:rPr>
        <w:tab/>
      </w:r>
      <w:r w:rsidR="00203FC7">
        <w:rPr>
          <w:rFonts w:cs="Calibri"/>
          <w:sz w:val="24"/>
          <w:szCs w:val="24"/>
        </w:rPr>
        <w:t>(29)</w:t>
      </w:r>
    </w:p>
    <w:p w:rsidR="00895960" w:rsidRDefault="006130D9" w:rsidP="00EA0843">
      <w:pPr>
        <w:pStyle w:val="BodyText3"/>
        <w:spacing w:after="200" w:line="360" w:lineRule="auto"/>
        <w:jc w:val="both"/>
        <w:rPr>
          <w:rFonts w:cs="Calibri"/>
          <w:sz w:val="24"/>
          <w:szCs w:val="24"/>
        </w:rPr>
      </w:pPr>
      <w:r>
        <w:rPr>
          <w:rFonts w:cs="Calibri"/>
          <w:sz w:val="24"/>
          <w:szCs w:val="24"/>
        </w:rPr>
        <w:t xml:space="preserve">Where there are </w:t>
      </w:r>
      <w:r w:rsidRPr="006130D9">
        <w:rPr>
          <w:rFonts w:cs="Calibri"/>
          <w:i/>
          <w:sz w:val="24"/>
          <w:szCs w:val="24"/>
        </w:rPr>
        <w:t>n</w:t>
      </w:r>
      <w:r>
        <w:rPr>
          <w:rFonts w:cs="Calibri"/>
          <w:sz w:val="24"/>
          <w:szCs w:val="24"/>
        </w:rPr>
        <w:t xml:space="preserve"> Rtn</w:t>
      </w:r>
      <w:r w:rsidRPr="006130D9">
        <w:rPr>
          <w:rFonts w:cs="Calibri"/>
          <w:sz w:val="24"/>
          <w:szCs w:val="24"/>
          <w:vertAlign w:val="subscript"/>
        </w:rPr>
        <w:t>ab</w:t>
      </w:r>
      <w:r>
        <w:rPr>
          <w:rFonts w:cs="Calibri"/>
          <w:sz w:val="24"/>
          <w:szCs w:val="24"/>
        </w:rPr>
        <w:t xml:space="preserve"> </w:t>
      </w:r>
      <w:r w:rsidR="00F67B09">
        <w:rPr>
          <w:rFonts w:cs="Calibri"/>
          <w:sz w:val="24"/>
          <w:szCs w:val="24"/>
        </w:rPr>
        <w:t xml:space="preserve">data points recorded </w:t>
      </w:r>
      <w:r>
        <w:rPr>
          <w:rFonts w:cs="Calibri"/>
          <w:sz w:val="24"/>
          <w:szCs w:val="24"/>
        </w:rPr>
        <w:t xml:space="preserve">for the transition from decile </w:t>
      </w:r>
      <w:r w:rsidRPr="006130D9">
        <w:rPr>
          <w:rFonts w:cs="Calibri"/>
          <w:i/>
          <w:sz w:val="24"/>
          <w:szCs w:val="24"/>
        </w:rPr>
        <w:t>a</w:t>
      </w:r>
      <w:r>
        <w:rPr>
          <w:rFonts w:cs="Calibri"/>
          <w:sz w:val="24"/>
          <w:szCs w:val="24"/>
        </w:rPr>
        <w:t xml:space="preserve"> in year </w:t>
      </w:r>
      <w:r w:rsidRPr="006130D9">
        <w:rPr>
          <w:rFonts w:cs="Calibri"/>
          <w:i/>
          <w:sz w:val="24"/>
          <w:szCs w:val="24"/>
        </w:rPr>
        <w:t>y</w:t>
      </w:r>
      <w:r>
        <w:rPr>
          <w:rFonts w:cs="Calibri"/>
          <w:sz w:val="24"/>
          <w:szCs w:val="24"/>
        </w:rPr>
        <w:t xml:space="preserve"> to decile </w:t>
      </w:r>
      <w:r w:rsidRPr="006130D9">
        <w:rPr>
          <w:rFonts w:cs="Calibri"/>
          <w:i/>
          <w:sz w:val="24"/>
          <w:szCs w:val="24"/>
        </w:rPr>
        <w:t>b</w:t>
      </w:r>
      <w:r>
        <w:rPr>
          <w:rFonts w:cs="Calibri"/>
          <w:sz w:val="24"/>
          <w:szCs w:val="24"/>
        </w:rPr>
        <w:t xml:space="preserve"> in year </w:t>
      </w:r>
      <w:r w:rsidRPr="006130D9">
        <w:rPr>
          <w:rFonts w:cs="Calibri"/>
          <w:i/>
          <w:sz w:val="24"/>
          <w:szCs w:val="24"/>
        </w:rPr>
        <w:t>y+1</w:t>
      </w:r>
      <w:r>
        <w:rPr>
          <w:rFonts w:cs="Calibri"/>
          <w:sz w:val="24"/>
          <w:szCs w:val="24"/>
        </w:rPr>
        <w:t>.</w:t>
      </w:r>
    </w:p>
    <w:p w:rsidR="004F00F3" w:rsidRDefault="004F00F3">
      <w:pPr>
        <w:spacing w:after="0" w:line="240" w:lineRule="auto"/>
        <w:rPr>
          <w:b/>
          <w:sz w:val="24"/>
          <w:szCs w:val="24"/>
        </w:rPr>
      </w:pPr>
      <w:r>
        <w:rPr>
          <w:b/>
          <w:sz w:val="24"/>
          <w:szCs w:val="24"/>
        </w:rPr>
        <w:br w:type="page"/>
      </w:r>
    </w:p>
    <w:p w:rsidR="00EC5AD8" w:rsidRPr="00DB620E" w:rsidRDefault="00EC5AD8" w:rsidP="00EA0843">
      <w:pPr>
        <w:pStyle w:val="BodyText3"/>
        <w:spacing w:after="200" w:line="360" w:lineRule="auto"/>
        <w:jc w:val="both"/>
        <w:rPr>
          <w:b/>
          <w:sz w:val="24"/>
          <w:szCs w:val="24"/>
        </w:rPr>
      </w:pPr>
      <w:r w:rsidRPr="00DB620E">
        <w:rPr>
          <w:b/>
          <w:sz w:val="24"/>
          <w:szCs w:val="24"/>
        </w:rPr>
        <w:lastRenderedPageBreak/>
        <w:t>4. Results</w:t>
      </w:r>
    </w:p>
    <w:p w:rsidR="006130D9" w:rsidRDefault="006130D9" w:rsidP="006076F6">
      <w:pPr>
        <w:spacing w:after="0" w:line="360" w:lineRule="auto"/>
        <w:jc w:val="both"/>
        <w:rPr>
          <w:sz w:val="24"/>
          <w:szCs w:val="24"/>
        </w:rPr>
      </w:pPr>
      <w:r>
        <w:rPr>
          <w:sz w:val="24"/>
          <w:szCs w:val="24"/>
        </w:rPr>
        <w:t xml:space="preserve">With what </w:t>
      </w:r>
      <w:r w:rsidR="008C0CCE">
        <w:rPr>
          <w:sz w:val="24"/>
          <w:szCs w:val="24"/>
        </w:rPr>
        <w:t xml:space="preserve">probability </w:t>
      </w:r>
      <w:r>
        <w:rPr>
          <w:sz w:val="24"/>
          <w:szCs w:val="24"/>
        </w:rPr>
        <w:t xml:space="preserve">companies move from their current decile to next year’s decile can be seen in Table </w:t>
      </w:r>
      <w:r w:rsidR="00CD1178">
        <w:rPr>
          <w:sz w:val="24"/>
          <w:szCs w:val="24"/>
        </w:rPr>
        <w:t>2</w:t>
      </w:r>
      <w:r>
        <w:rPr>
          <w:sz w:val="24"/>
          <w:szCs w:val="24"/>
        </w:rPr>
        <w:t>.</w:t>
      </w:r>
    </w:p>
    <w:p w:rsidR="006130D9" w:rsidRDefault="006130D9" w:rsidP="006130D9">
      <w:pPr>
        <w:spacing w:after="0" w:line="360" w:lineRule="auto"/>
        <w:jc w:val="center"/>
        <w:rPr>
          <w:sz w:val="24"/>
          <w:szCs w:val="24"/>
        </w:rPr>
      </w:pPr>
      <w:r>
        <w:rPr>
          <w:sz w:val="24"/>
          <w:szCs w:val="24"/>
        </w:rPr>
        <w:t xml:space="preserve">Table </w:t>
      </w:r>
      <w:r w:rsidR="00CD1178">
        <w:rPr>
          <w:sz w:val="24"/>
          <w:szCs w:val="24"/>
        </w:rPr>
        <w:t>2</w:t>
      </w:r>
      <w:r>
        <w:rPr>
          <w:sz w:val="24"/>
          <w:szCs w:val="24"/>
        </w:rPr>
        <w:t xml:space="preserve"> about here</w:t>
      </w:r>
    </w:p>
    <w:p w:rsidR="006130D9" w:rsidRDefault="006130D9" w:rsidP="006076F6">
      <w:pPr>
        <w:spacing w:after="0" w:line="360" w:lineRule="auto"/>
        <w:jc w:val="both"/>
        <w:rPr>
          <w:sz w:val="24"/>
          <w:szCs w:val="24"/>
        </w:rPr>
      </w:pPr>
    </w:p>
    <w:p w:rsidR="008C0CCE" w:rsidRDefault="008C0CCE" w:rsidP="006076F6">
      <w:pPr>
        <w:spacing w:after="0" w:line="360" w:lineRule="auto"/>
        <w:jc w:val="both"/>
        <w:rPr>
          <w:sz w:val="24"/>
          <w:szCs w:val="24"/>
        </w:rPr>
      </w:pPr>
      <w:r>
        <w:rPr>
          <w:sz w:val="24"/>
          <w:szCs w:val="24"/>
        </w:rPr>
        <w:t xml:space="preserve">For all deciles, the most likely decile to appear in next year is the same decile as this year. A glamour company has a 33.85% chance of becoming a loss-maker next year, compared to 25.38% for a value company. Extreme loss-makers (decile 01) and value companies are the most likely to remain in the same decile next year, at 31.84% and 34.34% respectively. </w:t>
      </w:r>
      <w:r w:rsidR="007A4918">
        <w:rPr>
          <w:sz w:val="24"/>
          <w:szCs w:val="24"/>
        </w:rPr>
        <w:t>The deciles between them are much more likely to move, with the probability of remaining in the same decile only 15-20%. Extreme loss-makers find it particularly difficult to break out of the spiral: they have only a one in six chance of turning a profit next year, compared to a 27.11% chance of being delisted.</w:t>
      </w:r>
    </w:p>
    <w:p w:rsidR="007A4918" w:rsidRDefault="00A42957" w:rsidP="006076F6">
      <w:pPr>
        <w:spacing w:after="0" w:line="360" w:lineRule="auto"/>
        <w:jc w:val="both"/>
        <w:rPr>
          <w:sz w:val="24"/>
          <w:szCs w:val="24"/>
        </w:rPr>
      </w:pPr>
      <w:r>
        <w:rPr>
          <w:sz w:val="24"/>
          <w:szCs w:val="24"/>
        </w:rPr>
        <w:t xml:space="preserve">One-year returns </w:t>
      </w:r>
      <w:r w:rsidR="00F07A93">
        <w:rPr>
          <w:sz w:val="24"/>
          <w:szCs w:val="24"/>
        </w:rPr>
        <w:t xml:space="preserve">by decile transition </w:t>
      </w:r>
      <w:r>
        <w:rPr>
          <w:sz w:val="24"/>
          <w:szCs w:val="24"/>
        </w:rPr>
        <w:t xml:space="preserve">are shown in Table </w:t>
      </w:r>
      <w:r w:rsidR="00CD1178">
        <w:rPr>
          <w:sz w:val="24"/>
          <w:szCs w:val="24"/>
        </w:rPr>
        <w:t>3</w:t>
      </w:r>
      <w:r>
        <w:rPr>
          <w:sz w:val="24"/>
          <w:szCs w:val="24"/>
        </w:rPr>
        <w:t>.</w:t>
      </w:r>
    </w:p>
    <w:p w:rsidR="00A42957" w:rsidRDefault="00A42957" w:rsidP="00753E08">
      <w:pPr>
        <w:spacing w:after="0" w:line="360" w:lineRule="auto"/>
        <w:jc w:val="center"/>
        <w:rPr>
          <w:sz w:val="24"/>
          <w:szCs w:val="24"/>
        </w:rPr>
      </w:pPr>
      <w:r>
        <w:rPr>
          <w:sz w:val="24"/>
          <w:szCs w:val="24"/>
        </w:rPr>
        <w:t xml:space="preserve">Table </w:t>
      </w:r>
      <w:r w:rsidR="00CD1178">
        <w:rPr>
          <w:sz w:val="24"/>
          <w:szCs w:val="24"/>
        </w:rPr>
        <w:t>3</w:t>
      </w:r>
      <w:r>
        <w:rPr>
          <w:sz w:val="24"/>
          <w:szCs w:val="24"/>
        </w:rPr>
        <w:t xml:space="preserve"> about here</w:t>
      </w:r>
    </w:p>
    <w:p w:rsidR="00A42957" w:rsidRDefault="00F07A93" w:rsidP="006076F6">
      <w:pPr>
        <w:spacing w:after="0" w:line="360" w:lineRule="auto"/>
        <w:jc w:val="both"/>
        <w:rPr>
          <w:sz w:val="24"/>
          <w:szCs w:val="24"/>
        </w:rPr>
      </w:pPr>
      <w:r>
        <w:rPr>
          <w:sz w:val="24"/>
          <w:szCs w:val="24"/>
        </w:rPr>
        <w:t xml:space="preserve">It is no surprise that </w:t>
      </w:r>
      <w:r w:rsidR="00B75408">
        <w:rPr>
          <w:sz w:val="24"/>
          <w:szCs w:val="24"/>
        </w:rPr>
        <w:t xml:space="preserve">the worst </w:t>
      </w:r>
      <w:r>
        <w:rPr>
          <w:sz w:val="24"/>
          <w:szCs w:val="24"/>
        </w:rPr>
        <w:t>loss-makers in decile 01</w:t>
      </w:r>
      <w:r w:rsidR="00B75408">
        <w:rPr>
          <w:sz w:val="24"/>
          <w:szCs w:val="24"/>
        </w:rPr>
        <w:t>,</w:t>
      </w:r>
      <w:r>
        <w:rPr>
          <w:sz w:val="24"/>
          <w:szCs w:val="24"/>
        </w:rPr>
        <w:t xml:space="preserve"> that either delist or stay in that decile</w:t>
      </w:r>
      <w:r w:rsidR="00B75408">
        <w:rPr>
          <w:sz w:val="24"/>
          <w:szCs w:val="24"/>
        </w:rPr>
        <w:t>,</w:t>
      </w:r>
      <w:r>
        <w:rPr>
          <w:sz w:val="24"/>
          <w:szCs w:val="24"/>
        </w:rPr>
        <w:t xml:space="preserve"> lose money for their investors. The surprise is that such compan</w:t>
      </w:r>
      <w:r w:rsidR="00B75408">
        <w:rPr>
          <w:sz w:val="24"/>
          <w:szCs w:val="24"/>
        </w:rPr>
        <w:t>ies</w:t>
      </w:r>
      <w:r>
        <w:rPr>
          <w:sz w:val="24"/>
          <w:szCs w:val="24"/>
        </w:rPr>
        <w:t xml:space="preserve"> only ha</w:t>
      </w:r>
      <w:r w:rsidR="00B75408">
        <w:rPr>
          <w:sz w:val="24"/>
          <w:szCs w:val="24"/>
        </w:rPr>
        <w:t>ve</w:t>
      </w:r>
      <w:r>
        <w:rPr>
          <w:sz w:val="24"/>
          <w:szCs w:val="24"/>
        </w:rPr>
        <w:t xml:space="preserve"> to make </w:t>
      </w:r>
      <w:r w:rsidR="00B75408">
        <w:rPr>
          <w:sz w:val="24"/>
          <w:szCs w:val="24"/>
        </w:rPr>
        <w:t xml:space="preserve">their losses </w:t>
      </w:r>
      <w:r>
        <w:rPr>
          <w:sz w:val="24"/>
          <w:szCs w:val="24"/>
        </w:rPr>
        <w:t xml:space="preserve">less </w:t>
      </w:r>
      <w:r w:rsidR="00B75408">
        <w:rPr>
          <w:sz w:val="24"/>
          <w:szCs w:val="24"/>
        </w:rPr>
        <w:t>severe</w:t>
      </w:r>
      <w:r>
        <w:rPr>
          <w:sz w:val="24"/>
          <w:szCs w:val="24"/>
        </w:rPr>
        <w:t xml:space="preserve"> and excellent returns </w:t>
      </w:r>
      <w:r w:rsidR="00B75408">
        <w:rPr>
          <w:sz w:val="24"/>
          <w:szCs w:val="24"/>
        </w:rPr>
        <w:t>can be expected:</w:t>
      </w:r>
      <w:r>
        <w:rPr>
          <w:sz w:val="24"/>
          <w:szCs w:val="24"/>
        </w:rPr>
        <w:t xml:space="preserve"> an average +130.88% for loss-makers that move from decile 01 to decile 05</w:t>
      </w:r>
      <w:r w:rsidR="00B75408">
        <w:rPr>
          <w:sz w:val="24"/>
          <w:szCs w:val="24"/>
        </w:rPr>
        <w:t xml:space="preserve"> (the least severe loss-makers)</w:t>
      </w:r>
      <w:r>
        <w:rPr>
          <w:sz w:val="24"/>
          <w:szCs w:val="24"/>
        </w:rPr>
        <w:t xml:space="preserve">. Glamour companies that remain glamour companies (06 </w:t>
      </w:r>
      <w:r w:rsidRPr="00F07A93">
        <w:rPr>
          <w:sz w:val="24"/>
          <w:szCs w:val="24"/>
        </w:rPr>
        <w:sym w:font="Wingdings" w:char="F0E0"/>
      </w:r>
      <w:r>
        <w:rPr>
          <w:sz w:val="24"/>
          <w:szCs w:val="24"/>
        </w:rPr>
        <w:t xml:space="preserve"> 06) show excellent returns of +37.25%. Value companies that remain value companies, on the other hand, show some of the poorest returns (+12.27%). From this point of view, it is clear why many investors choose glamour over value: archetypal glamour companies outperform archetypal value companies threefold.</w:t>
      </w:r>
      <w:r w:rsidR="009333A5">
        <w:rPr>
          <w:sz w:val="24"/>
          <w:szCs w:val="24"/>
        </w:rPr>
        <w:t xml:space="preserve"> On the other hand, glamour shares that start making losses show exceptionally poor returns: -41.32% for decile 06 </w:t>
      </w:r>
      <w:r w:rsidR="009333A5" w:rsidRPr="009333A5">
        <w:rPr>
          <w:sz w:val="24"/>
          <w:szCs w:val="24"/>
        </w:rPr>
        <w:sym w:font="Wingdings" w:char="F0E0"/>
      </w:r>
      <w:r w:rsidR="009333A5">
        <w:rPr>
          <w:sz w:val="24"/>
          <w:szCs w:val="24"/>
        </w:rPr>
        <w:t xml:space="preserve"> 01, for example.</w:t>
      </w:r>
    </w:p>
    <w:p w:rsidR="00F07A93" w:rsidRDefault="00F07A93" w:rsidP="006076F6">
      <w:pPr>
        <w:spacing w:after="0" w:line="360" w:lineRule="auto"/>
        <w:jc w:val="both"/>
        <w:rPr>
          <w:sz w:val="24"/>
          <w:szCs w:val="24"/>
        </w:rPr>
      </w:pPr>
      <w:r>
        <w:rPr>
          <w:sz w:val="24"/>
          <w:szCs w:val="24"/>
        </w:rPr>
        <w:t>The rub, however, is that few companies stay in the same decile into the next year. By multiplying tables 1 and 2 together and summing the result, we get Table 3: the expected return by decile</w:t>
      </w:r>
      <w:r w:rsidR="002351A4">
        <w:rPr>
          <w:sz w:val="24"/>
          <w:szCs w:val="24"/>
        </w:rPr>
        <w:t>.</w:t>
      </w:r>
    </w:p>
    <w:p w:rsidR="002351A4" w:rsidRDefault="002351A4" w:rsidP="002351A4">
      <w:pPr>
        <w:spacing w:after="0" w:line="360" w:lineRule="auto"/>
        <w:jc w:val="center"/>
        <w:rPr>
          <w:sz w:val="24"/>
          <w:szCs w:val="24"/>
        </w:rPr>
      </w:pPr>
      <w:r>
        <w:rPr>
          <w:sz w:val="24"/>
          <w:szCs w:val="24"/>
        </w:rPr>
        <w:t xml:space="preserve">Table </w:t>
      </w:r>
      <w:r w:rsidR="00CD1178">
        <w:rPr>
          <w:sz w:val="24"/>
          <w:szCs w:val="24"/>
        </w:rPr>
        <w:t>4</w:t>
      </w:r>
      <w:r>
        <w:rPr>
          <w:sz w:val="24"/>
          <w:szCs w:val="24"/>
        </w:rPr>
        <w:t xml:space="preserve"> about here</w:t>
      </w:r>
    </w:p>
    <w:p w:rsidR="002351A4" w:rsidRDefault="002351A4" w:rsidP="006076F6">
      <w:pPr>
        <w:spacing w:after="0" w:line="360" w:lineRule="auto"/>
        <w:jc w:val="both"/>
        <w:rPr>
          <w:sz w:val="24"/>
          <w:szCs w:val="24"/>
        </w:rPr>
      </w:pPr>
      <w:r>
        <w:rPr>
          <w:sz w:val="24"/>
          <w:szCs w:val="24"/>
        </w:rPr>
        <w:t xml:space="preserve">Table </w:t>
      </w:r>
      <w:r w:rsidR="00CD1178">
        <w:rPr>
          <w:sz w:val="24"/>
          <w:szCs w:val="24"/>
        </w:rPr>
        <w:t>4</w:t>
      </w:r>
      <w:r>
        <w:rPr>
          <w:sz w:val="24"/>
          <w:szCs w:val="24"/>
        </w:rPr>
        <w:t xml:space="preserve"> shows the traditional value-glamour split that hundreds of papers have demonstrated using the E/P or other variables to identify value and glamour shares: </w:t>
      </w:r>
      <w:r w:rsidR="006868B4">
        <w:rPr>
          <w:sz w:val="24"/>
          <w:szCs w:val="24"/>
        </w:rPr>
        <w:t>7</w:t>
      </w:r>
      <w:r>
        <w:rPr>
          <w:sz w:val="24"/>
          <w:szCs w:val="24"/>
        </w:rPr>
        <w:t>.</w:t>
      </w:r>
      <w:r w:rsidR="006868B4">
        <w:rPr>
          <w:sz w:val="24"/>
          <w:szCs w:val="24"/>
        </w:rPr>
        <w:t>45</w:t>
      </w:r>
      <w:r>
        <w:rPr>
          <w:sz w:val="24"/>
          <w:szCs w:val="24"/>
        </w:rPr>
        <w:t xml:space="preserve">% </w:t>
      </w:r>
      <w:r>
        <w:rPr>
          <w:sz w:val="24"/>
          <w:szCs w:val="24"/>
        </w:rPr>
        <w:lastRenderedPageBreak/>
        <w:t>average annual difference in returns between deciles 06 and 15. The apparent superiority of glamour shares over value in Table 2 has reversed itself. This is because of the much greater tendency of glamour shares to cease being glamour shares, and in particular to start making losses.</w:t>
      </w:r>
    </w:p>
    <w:p w:rsidR="00281B5B" w:rsidRDefault="00F60B88" w:rsidP="006076F6">
      <w:pPr>
        <w:spacing w:after="0" w:line="360" w:lineRule="auto"/>
        <w:jc w:val="both"/>
        <w:rPr>
          <w:sz w:val="24"/>
          <w:szCs w:val="24"/>
        </w:rPr>
      </w:pPr>
      <w:r>
        <w:rPr>
          <w:sz w:val="24"/>
          <w:szCs w:val="24"/>
        </w:rPr>
        <w:t xml:space="preserve">We look more closely at </w:t>
      </w:r>
      <w:r w:rsidR="00B75408">
        <w:rPr>
          <w:sz w:val="24"/>
          <w:szCs w:val="24"/>
        </w:rPr>
        <w:t xml:space="preserve">how </w:t>
      </w:r>
      <w:r>
        <w:rPr>
          <w:sz w:val="24"/>
          <w:szCs w:val="24"/>
        </w:rPr>
        <w:t xml:space="preserve">the </w:t>
      </w:r>
      <w:r w:rsidR="00B75408">
        <w:rPr>
          <w:sz w:val="24"/>
          <w:szCs w:val="24"/>
        </w:rPr>
        <w:t xml:space="preserve">E/Ps change differently depending on the decile </w:t>
      </w:r>
      <w:r>
        <w:rPr>
          <w:sz w:val="24"/>
          <w:szCs w:val="24"/>
        </w:rPr>
        <w:t xml:space="preserve">in </w:t>
      </w:r>
      <w:r w:rsidR="00281B5B">
        <w:rPr>
          <w:sz w:val="24"/>
          <w:szCs w:val="24"/>
        </w:rPr>
        <w:t xml:space="preserve">Table 4 and </w:t>
      </w:r>
      <w:r>
        <w:rPr>
          <w:sz w:val="24"/>
          <w:szCs w:val="24"/>
        </w:rPr>
        <w:t xml:space="preserve">Chart 3. </w:t>
      </w:r>
      <w:r w:rsidR="005F4FC7">
        <w:rPr>
          <w:sz w:val="24"/>
          <w:szCs w:val="24"/>
        </w:rPr>
        <w:t xml:space="preserve">Here we </w:t>
      </w:r>
      <w:r w:rsidR="00B75408">
        <w:rPr>
          <w:sz w:val="24"/>
          <w:szCs w:val="24"/>
        </w:rPr>
        <w:t xml:space="preserve">are looking </w:t>
      </w:r>
      <w:r w:rsidR="007D7E9E">
        <w:rPr>
          <w:sz w:val="24"/>
          <w:szCs w:val="24"/>
        </w:rPr>
        <w:t>at</w:t>
      </w:r>
      <w:r w:rsidR="00B75408">
        <w:rPr>
          <w:sz w:val="24"/>
          <w:szCs w:val="24"/>
        </w:rPr>
        <w:t xml:space="preserve"> the ratio of next year’s E/P to this year’s, and we </w:t>
      </w:r>
      <w:r w:rsidR="005F4FC7">
        <w:rPr>
          <w:sz w:val="24"/>
          <w:szCs w:val="24"/>
        </w:rPr>
        <w:t>do exclude loss-making companies, as it is difficult to interpret a negative ratio.</w:t>
      </w:r>
    </w:p>
    <w:p w:rsidR="00281B5B" w:rsidRDefault="00281B5B" w:rsidP="00281B5B">
      <w:pPr>
        <w:spacing w:after="0" w:line="360" w:lineRule="auto"/>
        <w:jc w:val="center"/>
        <w:rPr>
          <w:sz w:val="24"/>
          <w:szCs w:val="24"/>
        </w:rPr>
      </w:pPr>
      <w:r>
        <w:rPr>
          <w:sz w:val="24"/>
          <w:szCs w:val="24"/>
        </w:rPr>
        <w:t xml:space="preserve">Table </w:t>
      </w:r>
      <w:r w:rsidR="00CD1178">
        <w:rPr>
          <w:sz w:val="24"/>
          <w:szCs w:val="24"/>
        </w:rPr>
        <w:t>5</w:t>
      </w:r>
      <w:r>
        <w:rPr>
          <w:sz w:val="24"/>
          <w:szCs w:val="24"/>
        </w:rPr>
        <w:t xml:space="preserve"> about here</w:t>
      </w:r>
    </w:p>
    <w:p w:rsidR="00281B5B" w:rsidRDefault="00281B5B" w:rsidP="00281B5B">
      <w:pPr>
        <w:spacing w:after="0" w:line="360" w:lineRule="auto"/>
        <w:jc w:val="center"/>
        <w:rPr>
          <w:sz w:val="24"/>
          <w:szCs w:val="24"/>
        </w:rPr>
      </w:pPr>
      <w:r>
        <w:rPr>
          <w:sz w:val="24"/>
          <w:szCs w:val="24"/>
        </w:rPr>
        <w:t>Chart 3 about here</w:t>
      </w:r>
    </w:p>
    <w:p w:rsidR="00F60B88" w:rsidRDefault="00281B5B" w:rsidP="006076F6">
      <w:pPr>
        <w:spacing w:after="0" w:line="360" w:lineRule="auto"/>
        <w:jc w:val="both"/>
        <w:rPr>
          <w:sz w:val="24"/>
          <w:szCs w:val="24"/>
        </w:rPr>
      </w:pPr>
      <w:r w:rsidRPr="005F4FC7">
        <w:rPr>
          <w:i/>
          <w:sz w:val="24"/>
          <w:szCs w:val="24"/>
        </w:rPr>
        <w:t>A priori</w:t>
      </w:r>
      <w:r>
        <w:rPr>
          <w:sz w:val="24"/>
          <w:szCs w:val="24"/>
        </w:rPr>
        <w:t xml:space="preserve"> one would expect next year’s E/P to be much the same as this year’s. </w:t>
      </w:r>
      <w:r w:rsidR="005F4FC7">
        <w:rPr>
          <w:sz w:val="24"/>
          <w:szCs w:val="24"/>
        </w:rPr>
        <w:t xml:space="preserve">Since </w:t>
      </w:r>
      <w:r>
        <w:rPr>
          <w:sz w:val="24"/>
          <w:szCs w:val="24"/>
        </w:rPr>
        <w:t>the d</w:t>
      </w:r>
      <w:r w:rsidR="005F4FC7">
        <w:rPr>
          <w:sz w:val="24"/>
          <w:szCs w:val="24"/>
        </w:rPr>
        <w:t>istributions are highly skewed we comment on the medians rather than the means. For all profitable companies this is indeed the case, with a median ratio of 0.93</w:t>
      </w:r>
      <w:r w:rsidR="0015761F">
        <w:rPr>
          <w:sz w:val="24"/>
          <w:szCs w:val="24"/>
        </w:rPr>
        <w:t xml:space="preserve">. This means that next year’s E/P is </w:t>
      </w:r>
      <w:r w:rsidR="0043342D">
        <w:rPr>
          <w:sz w:val="24"/>
          <w:szCs w:val="24"/>
        </w:rPr>
        <w:t>s</w:t>
      </w:r>
      <w:r w:rsidR="0015761F">
        <w:rPr>
          <w:sz w:val="24"/>
          <w:szCs w:val="24"/>
        </w:rPr>
        <w:t>lightly smaller than this year’s, i.e. next year’s P/E is slightly larger. How</w:t>
      </w:r>
      <w:r w:rsidR="004E6312">
        <w:rPr>
          <w:sz w:val="24"/>
          <w:szCs w:val="24"/>
        </w:rPr>
        <w:t>e</w:t>
      </w:r>
      <w:r w:rsidR="0015761F">
        <w:rPr>
          <w:sz w:val="24"/>
          <w:szCs w:val="24"/>
        </w:rPr>
        <w:t>ver this does not hold true for the glamour and value deciles</w:t>
      </w:r>
      <w:r w:rsidR="00B75408">
        <w:rPr>
          <w:sz w:val="24"/>
          <w:szCs w:val="24"/>
        </w:rPr>
        <w:t xml:space="preserve">, where Fama and </w:t>
      </w:r>
      <w:r w:rsidR="007D7E9E">
        <w:rPr>
          <w:sz w:val="24"/>
          <w:szCs w:val="24"/>
        </w:rPr>
        <w:t>French’s</w:t>
      </w:r>
      <w:r w:rsidR="00B75408">
        <w:rPr>
          <w:sz w:val="24"/>
          <w:szCs w:val="24"/>
        </w:rPr>
        <w:t xml:space="preserve"> (2000) regression to the mean is very evident</w:t>
      </w:r>
      <w:r w:rsidR="0015761F">
        <w:rPr>
          <w:sz w:val="24"/>
          <w:szCs w:val="24"/>
        </w:rPr>
        <w:t xml:space="preserve">. For glamour shares, next year’s E/P is almost twice the current E/P, i.e. the P/E almost halves. </w:t>
      </w:r>
      <w:r w:rsidR="00B75408">
        <w:rPr>
          <w:sz w:val="24"/>
          <w:szCs w:val="24"/>
        </w:rPr>
        <w:t>If</w:t>
      </w:r>
      <w:r w:rsidR="0015761F">
        <w:rPr>
          <w:sz w:val="24"/>
          <w:szCs w:val="24"/>
        </w:rPr>
        <w:t xml:space="preserve"> a stock recorded an un</w:t>
      </w:r>
      <w:r w:rsidR="0043342D">
        <w:rPr>
          <w:sz w:val="24"/>
          <w:szCs w:val="24"/>
        </w:rPr>
        <w:t xml:space="preserve">characteristically </w:t>
      </w:r>
      <w:r w:rsidR="0015761F">
        <w:rPr>
          <w:sz w:val="24"/>
          <w:szCs w:val="24"/>
        </w:rPr>
        <w:t>high P/E this year, the temporary factors that caused it could well have dissipated in a year’s time, and vice-versa for value shares.</w:t>
      </w:r>
      <w:r w:rsidR="00B75408">
        <w:rPr>
          <w:sz w:val="24"/>
          <w:szCs w:val="24"/>
        </w:rPr>
        <w:t xml:space="preserve"> The opposite is true for value shares: next year’s P/E is almost twice this year’s P/E.</w:t>
      </w:r>
    </w:p>
    <w:p w:rsidR="004F00F3" w:rsidRDefault="0015761F" w:rsidP="004F00F3">
      <w:pPr>
        <w:spacing w:after="0" w:line="360" w:lineRule="auto"/>
        <w:jc w:val="both"/>
        <w:rPr>
          <w:sz w:val="24"/>
          <w:szCs w:val="24"/>
        </w:rPr>
      </w:pPr>
      <w:r>
        <w:rPr>
          <w:sz w:val="24"/>
          <w:szCs w:val="24"/>
        </w:rPr>
        <w:t>The distributions of the ratios shown in Chart 3 are also interesting.</w:t>
      </w:r>
      <w:r w:rsidR="00B75408">
        <w:rPr>
          <w:sz w:val="24"/>
          <w:szCs w:val="24"/>
        </w:rPr>
        <w:t xml:space="preserve"> For all companies considered together </w:t>
      </w:r>
      <w:r>
        <w:rPr>
          <w:sz w:val="24"/>
          <w:szCs w:val="24"/>
        </w:rPr>
        <w:t xml:space="preserve">one would expect a symmetrical bell curve, with the E/P on average staying close to what it was last year, and extreme changes in either direction being equally unlikely. This </w:t>
      </w:r>
      <w:r w:rsidR="00753E08">
        <w:rPr>
          <w:sz w:val="24"/>
          <w:szCs w:val="24"/>
        </w:rPr>
        <w:t xml:space="preserve">appears to roughly be the case </w:t>
      </w:r>
      <w:r>
        <w:rPr>
          <w:sz w:val="24"/>
          <w:szCs w:val="24"/>
        </w:rPr>
        <w:t>for the overall distribution</w:t>
      </w:r>
      <w:r w:rsidR="00B75408">
        <w:rPr>
          <w:sz w:val="24"/>
          <w:szCs w:val="24"/>
        </w:rPr>
        <w:t xml:space="preserve"> and for value shares. </w:t>
      </w:r>
      <w:r>
        <w:rPr>
          <w:sz w:val="24"/>
          <w:szCs w:val="24"/>
        </w:rPr>
        <w:t>However, for glamour shares there is a pronounced second bulge on the left hand side</w:t>
      </w:r>
      <w:r w:rsidR="00B75408">
        <w:rPr>
          <w:sz w:val="24"/>
          <w:szCs w:val="24"/>
        </w:rPr>
        <w:t xml:space="preserve"> that value shares do not display</w:t>
      </w:r>
      <w:r>
        <w:rPr>
          <w:sz w:val="24"/>
          <w:szCs w:val="24"/>
        </w:rPr>
        <w:t xml:space="preserve">. 5.59% of glamour shares have a ratio between -25 and -10, i.e. the company started making losses </w:t>
      </w:r>
      <w:r w:rsidR="00B75408">
        <w:rPr>
          <w:sz w:val="24"/>
          <w:szCs w:val="24"/>
        </w:rPr>
        <w:t>that were numerically larger than</w:t>
      </w:r>
      <w:r>
        <w:rPr>
          <w:sz w:val="24"/>
          <w:szCs w:val="24"/>
        </w:rPr>
        <w:t xml:space="preserve"> the profits they made the year before</w:t>
      </w:r>
      <w:r w:rsidR="00B75408">
        <w:rPr>
          <w:sz w:val="24"/>
          <w:szCs w:val="24"/>
        </w:rPr>
        <w:t xml:space="preserve"> (note we cannot say 10-25 times as large, since we are comparing E/Ps and the price is likely to have gone down too)</w:t>
      </w:r>
      <w:r>
        <w:rPr>
          <w:sz w:val="24"/>
          <w:szCs w:val="24"/>
        </w:rPr>
        <w:t>. This may be a practical demonstration of the “big bath” syndrome: if the directors see that they are going to make losses, they decide they may as well clear the books in one fell swoop and roll all sorts of other losses into it.</w:t>
      </w:r>
      <w:r w:rsidR="004E6312">
        <w:rPr>
          <w:sz w:val="24"/>
          <w:szCs w:val="24"/>
        </w:rPr>
        <w:t xml:space="preserve"> But why, if that were the case, is the “big bath” syndrome confined to companies that previously had high P/Es?</w:t>
      </w:r>
    </w:p>
    <w:p w:rsidR="0043342D" w:rsidRPr="004F00F3" w:rsidRDefault="00554099" w:rsidP="004F00F3">
      <w:pPr>
        <w:spacing w:after="0" w:line="360" w:lineRule="auto"/>
        <w:jc w:val="both"/>
        <w:rPr>
          <w:sz w:val="24"/>
          <w:szCs w:val="24"/>
        </w:rPr>
      </w:pPr>
      <w:r w:rsidRPr="00B35FE8">
        <w:rPr>
          <w:b/>
          <w:sz w:val="24"/>
          <w:szCs w:val="24"/>
        </w:rPr>
        <w:lastRenderedPageBreak/>
        <w:t>5. Estimating the Anchoring</w:t>
      </w:r>
      <w:r w:rsidR="0043342D" w:rsidRPr="00B35FE8">
        <w:rPr>
          <w:b/>
          <w:sz w:val="24"/>
          <w:szCs w:val="24"/>
        </w:rPr>
        <w:t xml:space="preserve"> Effect</w:t>
      </w:r>
    </w:p>
    <w:p w:rsidR="0043342D" w:rsidRDefault="0043342D" w:rsidP="006076F6">
      <w:pPr>
        <w:spacing w:after="0" w:line="360" w:lineRule="auto"/>
        <w:jc w:val="both"/>
        <w:rPr>
          <w:sz w:val="24"/>
          <w:szCs w:val="24"/>
        </w:rPr>
      </w:pPr>
      <w:r>
        <w:rPr>
          <w:sz w:val="24"/>
          <w:szCs w:val="24"/>
        </w:rPr>
        <w:t xml:space="preserve">As </w:t>
      </w:r>
      <w:r w:rsidR="00560D3F">
        <w:rPr>
          <w:sz w:val="24"/>
          <w:szCs w:val="24"/>
        </w:rPr>
        <w:t>we saw</w:t>
      </w:r>
      <w:r>
        <w:rPr>
          <w:sz w:val="24"/>
          <w:szCs w:val="24"/>
        </w:rPr>
        <w:t xml:space="preserve"> above, glamour shares have a much lesser tendency to remain glamour shares next year than value shares have to remain value shares. This can be seen in Chart 4.</w:t>
      </w:r>
      <w:r w:rsidR="00554099">
        <w:rPr>
          <w:sz w:val="24"/>
          <w:szCs w:val="24"/>
        </w:rPr>
        <w:t xml:space="preserve"> If </w:t>
      </w:r>
      <w:r w:rsidR="00C37776">
        <w:rPr>
          <w:sz w:val="24"/>
          <w:szCs w:val="24"/>
        </w:rPr>
        <w:t xml:space="preserve">glamour companies </w:t>
      </w:r>
      <w:r w:rsidR="00554099">
        <w:rPr>
          <w:sz w:val="24"/>
          <w:szCs w:val="24"/>
        </w:rPr>
        <w:t xml:space="preserve">stay as glamour companies, they </w:t>
      </w:r>
      <w:r w:rsidR="00C37776">
        <w:rPr>
          <w:sz w:val="24"/>
          <w:szCs w:val="24"/>
        </w:rPr>
        <w:t>can expect</w:t>
      </w:r>
      <w:r w:rsidR="00554099">
        <w:rPr>
          <w:sz w:val="24"/>
          <w:szCs w:val="24"/>
        </w:rPr>
        <w:t xml:space="preserve"> excellent returns of 37.25%, as Table 2 shows. </w:t>
      </w:r>
      <w:r w:rsidR="00F671FD">
        <w:rPr>
          <w:sz w:val="24"/>
          <w:szCs w:val="24"/>
        </w:rPr>
        <w:t xml:space="preserve">It appears that glamour investors are anchoring on their company’s current P/E and over-estimating the likelihood of it staying that high. </w:t>
      </w:r>
      <w:r w:rsidR="00554099">
        <w:rPr>
          <w:sz w:val="24"/>
          <w:szCs w:val="24"/>
        </w:rPr>
        <w:t xml:space="preserve">By how much are </w:t>
      </w:r>
      <w:r w:rsidR="00F671FD">
        <w:rPr>
          <w:sz w:val="24"/>
          <w:szCs w:val="24"/>
        </w:rPr>
        <w:t>they</w:t>
      </w:r>
      <w:r w:rsidR="00554099">
        <w:rPr>
          <w:sz w:val="24"/>
          <w:szCs w:val="24"/>
        </w:rPr>
        <w:t xml:space="preserve"> under-estimating these companies’ tendency to change deciles?</w:t>
      </w:r>
    </w:p>
    <w:p w:rsidR="00F671FD" w:rsidRDefault="00554099" w:rsidP="006076F6">
      <w:pPr>
        <w:spacing w:after="0" w:line="360" w:lineRule="auto"/>
        <w:jc w:val="both"/>
        <w:rPr>
          <w:sz w:val="24"/>
          <w:szCs w:val="24"/>
        </w:rPr>
      </w:pPr>
      <w:r>
        <w:rPr>
          <w:sz w:val="24"/>
          <w:szCs w:val="24"/>
        </w:rPr>
        <w:t>The distribution of glamour companies</w:t>
      </w:r>
      <w:r w:rsidR="00C51DEA">
        <w:rPr>
          <w:sz w:val="24"/>
          <w:szCs w:val="24"/>
        </w:rPr>
        <w:t>’ transitions across deciles</w:t>
      </w:r>
      <w:r>
        <w:rPr>
          <w:sz w:val="24"/>
          <w:szCs w:val="24"/>
        </w:rPr>
        <w:t xml:space="preserve"> </w:t>
      </w:r>
      <w:r w:rsidR="00C51DEA">
        <w:rPr>
          <w:sz w:val="24"/>
          <w:szCs w:val="24"/>
        </w:rPr>
        <w:t xml:space="preserve">has very fat tails and so </w:t>
      </w:r>
      <w:r>
        <w:rPr>
          <w:sz w:val="24"/>
          <w:szCs w:val="24"/>
        </w:rPr>
        <w:t>is best modelled using a Cauchy distribution. This ‘pathological’ distribution has a location and a scale parameter, but no mean, variance or any other moments</w:t>
      </w:r>
      <w:r w:rsidR="00F671FD">
        <w:rPr>
          <w:sz w:val="24"/>
          <w:szCs w:val="24"/>
        </w:rPr>
        <w:t>. Its CDF is</w:t>
      </w:r>
    </w:p>
    <w:p w:rsidR="00F671FD" w:rsidRDefault="00F671FD" w:rsidP="009F6ED1">
      <w:pPr>
        <w:spacing w:after="0" w:line="360" w:lineRule="auto"/>
        <w:ind w:left="2160" w:firstLine="720"/>
        <w:jc w:val="both"/>
        <w:rPr>
          <w:sz w:val="24"/>
          <w:szCs w:val="24"/>
        </w:rPr>
      </w:pPr>
      <w:r w:rsidRPr="00F671FD">
        <w:rPr>
          <w:position w:val="-28"/>
          <w:sz w:val="24"/>
          <w:szCs w:val="24"/>
        </w:rPr>
        <w:object w:dxaOrig="3320" w:dyaOrig="680">
          <v:shape id="_x0000_i1030" type="#_x0000_t75" style="width:165pt;height:33.75pt" o:ole="">
            <v:imagedata r:id="rId173" o:title=""/>
          </v:shape>
          <o:OLEObject Type="Embed" ProgID="Equation.3" ShapeID="_x0000_i1030" DrawAspect="Content" ObjectID="_1448180118" r:id="rId174"/>
        </w:object>
      </w:r>
      <w:r>
        <w:rPr>
          <w:sz w:val="24"/>
          <w:szCs w:val="24"/>
        </w:rPr>
        <w:tab/>
      </w:r>
      <w:r>
        <w:rPr>
          <w:sz w:val="24"/>
          <w:szCs w:val="24"/>
        </w:rPr>
        <w:tab/>
      </w:r>
      <w:r>
        <w:rPr>
          <w:sz w:val="24"/>
          <w:szCs w:val="24"/>
        </w:rPr>
        <w:tab/>
      </w:r>
      <w:r w:rsidR="00203FC7">
        <w:rPr>
          <w:sz w:val="24"/>
          <w:szCs w:val="24"/>
        </w:rPr>
        <w:t>(30)</w:t>
      </w:r>
    </w:p>
    <w:p w:rsidR="00F671FD" w:rsidRDefault="00F671FD" w:rsidP="006076F6">
      <w:pPr>
        <w:spacing w:after="0" w:line="360" w:lineRule="auto"/>
        <w:jc w:val="both"/>
        <w:rPr>
          <w:sz w:val="24"/>
          <w:szCs w:val="24"/>
        </w:rPr>
      </w:pPr>
    </w:p>
    <w:p w:rsidR="00554099" w:rsidRDefault="007D7E9E" w:rsidP="006076F6">
      <w:pPr>
        <w:spacing w:after="0" w:line="360" w:lineRule="auto"/>
        <w:jc w:val="both"/>
        <w:rPr>
          <w:sz w:val="24"/>
          <w:szCs w:val="24"/>
        </w:rPr>
      </w:pPr>
      <w:r>
        <w:rPr>
          <w:sz w:val="24"/>
          <w:szCs w:val="24"/>
        </w:rPr>
        <w:t>Where</w:t>
      </w:r>
      <w:r w:rsidR="00F671FD">
        <w:rPr>
          <w:sz w:val="24"/>
          <w:szCs w:val="24"/>
        </w:rPr>
        <w:t xml:space="preserve"> </w:t>
      </w:r>
      <w:r w:rsidR="00F671FD" w:rsidRPr="00F671FD">
        <w:rPr>
          <w:i/>
          <w:sz w:val="24"/>
          <w:szCs w:val="24"/>
        </w:rPr>
        <w:t>x</w:t>
      </w:r>
      <w:r w:rsidR="00F671FD" w:rsidRPr="00F671FD">
        <w:rPr>
          <w:i/>
          <w:sz w:val="24"/>
          <w:szCs w:val="24"/>
          <w:vertAlign w:val="subscript"/>
        </w:rPr>
        <w:t>0</w:t>
      </w:r>
      <w:r w:rsidR="00F671FD">
        <w:rPr>
          <w:sz w:val="24"/>
          <w:szCs w:val="24"/>
        </w:rPr>
        <w:t xml:space="preserve"> is the location parameter and </w:t>
      </w:r>
      <w:r w:rsidR="00F671FD" w:rsidRPr="00051AE5">
        <w:rPr>
          <w:position w:val="-10"/>
        </w:rPr>
        <w:object w:dxaOrig="200" w:dyaOrig="260">
          <v:shape id="_x0000_i1031" type="#_x0000_t75" style="width:9.75pt;height:12.75pt" o:ole="">
            <v:imagedata r:id="rId175" o:title=""/>
          </v:shape>
          <o:OLEObject Type="Embed" ProgID="Equation.3" ShapeID="_x0000_i1031" DrawAspect="Content" ObjectID="_1448180119" r:id="rId176"/>
        </w:object>
      </w:r>
      <w:r w:rsidR="00F671FD">
        <w:rPr>
          <w:sz w:val="24"/>
          <w:szCs w:val="24"/>
        </w:rPr>
        <w:t xml:space="preserve"> is the scale parameter.</w:t>
      </w:r>
      <w:r w:rsidR="00554099">
        <w:rPr>
          <w:sz w:val="24"/>
          <w:szCs w:val="24"/>
        </w:rPr>
        <w:t xml:space="preserve"> Its use has been proposed in finance to model distributions with “fat tails”, e.g. </w:t>
      </w:r>
      <w:r w:rsidR="00C37776">
        <w:rPr>
          <w:sz w:val="24"/>
          <w:szCs w:val="24"/>
        </w:rPr>
        <w:t xml:space="preserve">Mandelbrot </w:t>
      </w:r>
      <w:r w:rsidR="00613D72">
        <w:rPr>
          <w:sz w:val="24"/>
          <w:szCs w:val="24"/>
        </w:rPr>
        <w:t xml:space="preserve">and Hudson </w:t>
      </w:r>
      <w:r w:rsidR="00C37776">
        <w:rPr>
          <w:sz w:val="24"/>
          <w:szCs w:val="24"/>
        </w:rPr>
        <w:t>(</w:t>
      </w:r>
      <w:r w:rsidR="00613D72">
        <w:rPr>
          <w:sz w:val="24"/>
          <w:szCs w:val="24"/>
        </w:rPr>
        <w:t>2008)</w:t>
      </w:r>
      <w:r w:rsidR="00554099">
        <w:rPr>
          <w:sz w:val="24"/>
          <w:szCs w:val="24"/>
        </w:rPr>
        <w:t>, but take-up has been limited due to its analytical intractability.</w:t>
      </w:r>
      <w:r w:rsidR="006004A1">
        <w:rPr>
          <w:sz w:val="24"/>
          <w:szCs w:val="24"/>
        </w:rPr>
        <w:t xml:space="preserve"> Truncation </w:t>
      </w:r>
      <w:r w:rsidR="00613D72">
        <w:rPr>
          <w:sz w:val="24"/>
          <w:szCs w:val="24"/>
        </w:rPr>
        <w:t xml:space="preserve">of the distribution </w:t>
      </w:r>
      <w:r w:rsidR="006004A1">
        <w:rPr>
          <w:sz w:val="24"/>
          <w:szCs w:val="24"/>
        </w:rPr>
        <w:t>is necessary due to the facts that deciles lower than 00 or higher than 15 are not possible here. In addition, we keep decile 00 as fixed at the observed probability of 0.0582, since a failure to record any earnings in year 2 is not the same as a definite move to another decile, and we could as well have coded it as decile 99 as 00.</w:t>
      </w:r>
    </w:p>
    <w:p w:rsidR="0043342D" w:rsidRDefault="00613D72" w:rsidP="006076F6">
      <w:pPr>
        <w:spacing w:after="0" w:line="360" w:lineRule="auto"/>
        <w:jc w:val="both"/>
        <w:rPr>
          <w:sz w:val="24"/>
          <w:szCs w:val="24"/>
        </w:rPr>
      </w:pPr>
      <w:r>
        <w:rPr>
          <w:sz w:val="24"/>
          <w:szCs w:val="24"/>
        </w:rPr>
        <w:t>The observed distribution of next year’s E/Ps to deciles and the approximated Cauchy distribution are shown in Chart 5. What scale parameter would be needed for the glamour decile to show average returns? Average annual returns for 1983-20</w:t>
      </w:r>
      <w:r w:rsidR="007516B2">
        <w:rPr>
          <w:sz w:val="24"/>
          <w:szCs w:val="24"/>
        </w:rPr>
        <w:t>10</w:t>
      </w:r>
      <w:r>
        <w:rPr>
          <w:sz w:val="24"/>
          <w:szCs w:val="24"/>
        </w:rPr>
        <w:t xml:space="preserve"> were 13.24%. This is achieved by shrinking the scale parameter by 18%, from 2.2150 to 1.8164. This is the third series shown in Chart 5.</w:t>
      </w:r>
      <w:r w:rsidR="007516B2">
        <w:rPr>
          <w:sz w:val="24"/>
          <w:szCs w:val="24"/>
        </w:rPr>
        <w:t xml:space="preserve"> </w:t>
      </w:r>
      <w:r w:rsidR="00560D3F">
        <w:rPr>
          <w:sz w:val="24"/>
          <w:szCs w:val="24"/>
        </w:rPr>
        <w:t>To put it another way</w:t>
      </w:r>
      <w:r w:rsidR="007516B2">
        <w:rPr>
          <w:sz w:val="24"/>
          <w:szCs w:val="24"/>
        </w:rPr>
        <w:t>, glamour investors are under-estimating the decile variability of their shares by 1</w:t>
      </w:r>
      <w:r w:rsidR="00E14C7F">
        <w:rPr>
          <w:sz w:val="24"/>
          <w:szCs w:val="24"/>
        </w:rPr>
        <w:t>8</w:t>
      </w:r>
      <w:r w:rsidR="007516B2">
        <w:rPr>
          <w:sz w:val="24"/>
          <w:szCs w:val="24"/>
        </w:rPr>
        <w:t xml:space="preserve">% if they </w:t>
      </w:r>
      <w:r w:rsidR="00560D3F">
        <w:rPr>
          <w:sz w:val="24"/>
          <w:szCs w:val="24"/>
        </w:rPr>
        <w:t xml:space="preserve">are </w:t>
      </w:r>
      <w:r w:rsidR="007516B2">
        <w:rPr>
          <w:sz w:val="24"/>
          <w:szCs w:val="24"/>
        </w:rPr>
        <w:t>expect</w:t>
      </w:r>
      <w:r w:rsidR="00560D3F">
        <w:rPr>
          <w:sz w:val="24"/>
          <w:szCs w:val="24"/>
        </w:rPr>
        <w:t>ing</w:t>
      </w:r>
      <w:r w:rsidR="007516B2">
        <w:rPr>
          <w:sz w:val="24"/>
          <w:szCs w:val="24"/>
        </w:rPr>
        <w:t xml:space="preserve"> to get </w:t>
      </w:r>
      <w:r w:rsidR="00E14C7F">
        <w:rPr>
          <w:sz w:val="24"/>
          <w:szCs w:val="24"/>
        </w:rPr>
        <w:t xml:space="preserve">even </w:t>
      </w:r>
      <w:r w:rsidR="007516B2">
        <w:rPr>
          <w:sz w:val="24"/>
          <w:szCs w:val="24"/>
        </w:rPr>
        <w:t>market average returns. If they expect to get returns equal to those of the value decile (18.35% from Table 3), the Cauchy scale parameter must be reduced by 60%</w:t>
      </w:r>
      <w:r w:rsidR="00E14C7F">
        <w:rPr>
          <w:sz w:val="24"/>
          <w:szCs w:val="24"/>
        </w:rPr>
        <w:t>, from 2.2150 to 0.8862</w:t>
      </w:r>
      <w:r w:rsidR="007516B2">
        <w:rPr>
          <w:sz w:val="24"/>
          <w:szCs w:val="24"/>
        </w:rPr>
        <w:t>.</w:t>
      </w:r>
    </w:p>
    <w:p w:rsidR="00613D72" w:rsidRDefault="00613D72" w:rsidP="006076F6">
      <w:pPr>
        <w:spacing w:after="0" w:line="360" w:lineRule="auto"/>
        <w:jc w:val="both"/>
        <w:rPr>
          <w:sz w:val="24"/>
          <w:szCs w:val="24"/>
        </w:rPr>
      </w:pPr>
    </w:p>
    <w:p w:rsidR="004F00F3" w:rsidRDefault="004F00F3">
      <w:pPr>
        <w:spacing w:after="0" w:line="240" w:lineRule="auto"/>
        <w:rPr>
          <w:b/>
          <w:sz w:val="24"/>
          <w:szCs w:val="24"/>
        </w:rPr>
      </w:pPr>
      <w:r>
        <w:rPr>
          <w:b/>
          <w:sz w:val="24"/>
          <w:szCs w:val="24"/>
        </w:rPr>
        <w:br w:type="page"/>
      </w:r>
    </w:p>
    <w:p w:rsidR="00F60B88" w:rsidRDefault="0078485A" w:rsidP="006076F6">
      <w:pPr>
        <w:spacing w:after="0" w:line="360" w:lineRule="auto"/>
        <w:jc w:val="both"/>
        <w:rPr>
          <w:b/>
          <w:sz w:val="24"/>
          <w:szCs w:val="24"/>
        </w:rPr>
      </w:pPr>
      <w:r>
        <w:rPr>
          <w:b/>
          <w:sz w:val="24"/>
          <w:szCs w:val="24"/>
        </w:rPr>
        <w:lastRenderedPageBreak/>
        <w:t>6</w:t>
      </w:r>
      <w:r w:rsidR="00F60B88">
        <w:rPr>
          <w:b/>
          <w:sz w:val="24"/>
          <w:szCs w:val="24"/>
        </w:rPr>
        <w:t xml:space="preserve">. </w:t>
      </w:r>
      <w:r w:rsidR="00203FC7">
        <w:rPr>
          <w:b/>
          <w:sz w:val="24"/>
          <w:szCs w:val="24"/>
        </w:rPr>
        <w:t xml:space="preserve">P/E Changes in a </w:t>
      </w:r>
      <w:r w:rsidR="00F60B88">
        <w:rPr>
          <w:b/>
          <w:sz w:val="24"/>
          <w:szCs w:val="24"/>
        </w:rPr>
        <w:t>Markov Model</w:t>
      </w:r>
    </w:p>
    <w:p w:rsidR="00F60B88" w:rsidRDefault="0078485A" w:rsidP="006076F6">
      <w:pPr>
        <w:spacing w:after="0" w:line="360" w:lineRule="auto"/>
        <w:jc w:val="both"/>
        <w:rPr>
          <w:sz w:val="24"/>
          <w:szCs w:val="24"/>
        </w:rPr>
      </w:pPr>
      <w:r>
        <w:rPr>
          <w:sz w:val="24"/>
          <w:szCs w:val="24"/>
        </w:rPr>
        <w:t xml:space="preserve">The flow we have observed of companies through the P/E deciles is complex. In particular, glamour firms tend to rapidly cease being glamour firms and often become loss-makers. However, one could argue that </w:t>
      </w:r>
      <w:r w:rsidR="00560D3F">
        <w:rPr>
          <w:sz w:val="24"/>
          <w:szCs w:val="24"/>
        </w:rPr>
        <w:t xml:space="preserve">a </w:t>
      </w:r>
      <w:r>
        <w:rPr>
          <w:sz w:val="24"/>
          <w:szCs w:val="24"/>
        </w:rPr>
        <w:t xml:space="preserve">holder of </w:t>
      </w:r>
      <w:r w:rsidR="00560D3F">
        <w:rPr>
          <w:sz w:val="24"/>
          <w:szCs w:val="24"/>
        </w:rPr>
        <w:t>a</w:t>
      </w:r>
      <w:r>
        <w:rPr>
          <w:sz w:val="24"/>
          <w:szCs w:val="24"/>
        </w:rPr>
        <w:t xml:space="preserve"> </w:t>
      </w:r>
      <w:r w:rsidR="00560D3F">
        <w:rPr>
          <w:sz w:val="24"/>
          <w:szCs w:val="24"/>
        </w:rPr>
        <w:t>glamour firm that falls into losses could look forward to</w:t>
      </w:r>
      <w:r>
        <w:rPr>
          <w:sz w:val="24"/>
          <w:szCs w:val="24"/>
        </w:rPr>
        <w:t xml:space="preserve"> very good returns </w:t>
      </w:r>
      <w:r w:rsidR="00560D3F">
        <w:rPr>
          <w:sz w:val="24"/>
          <w:szCs w:val="24"/>
        </w:rPr>
        <w:t>if</w:t>
      </w:r>
      <w:r>
        <w:rPr>
          <w:sz w:val="24"/>
          <w:szCs w:val="24"/>
        </w:rPr>
        <w:t xml:space="preserve"> the firm returns to profit. Are there any surprises in this complex flow </w:t>
      </w:r>
      <w:r w:rsidR="009F6ED1">
        <w:rPr>
          <w:sz w:val="24"/>
          <w:szCs w:val="24"/>
        </w:rPr>
        <w:t xml:space="preserve">in future years </w:t>
      </w:r>
      <w:r>
        <w:rPr>
          <w:sz w:val="24"/>
          <w:szCs w:val="24"/>
        </w:rPr>
        <w:t>that would explain why the one-year returns for glamour firms are so poor?</w:t>
      </w:r>
    </w:p>
    <w:p w:rsidR="0078485A" w:rsidRDefault="0078485A" w:rsidP="006076F6">
      <w:pPr>
        <w:spacing w:after="0" w:line="360" w:lineRule="auto"/>
        <w:jc w:val="both"/>
        <w:rPr>
          <w:sz w:val="24"/>
          <w:szCs w:val="24"/>
        </w:rPr>
      </w:pPr>
      <w:r>
        <w:rPr>
          <w:sz w:val="24"/>
          <w:szCs w:val="24"/>
        </w:rPr>
        <w:t>To check this we implemented a Markov model using TreeAge decision modelling software. The model is shown in Chart</w:t>
      </w:r>
      <w:r w:rsidR="0031267E">
        <w:rPr>
          <w:sz w:val="24"/>
          <w:szCs w:val="24"/>
        </w:rPr>
        <w:t>s</w:t>
      </w:r>
      <w:r>
        <w:rPr>
          <w:sz w:val="24"/>
          <w:szCs w:val="24"/>
        </w:rPr>
        <w:t xml:space="preserve"> 6</w:t>
      </w:r>
      <w:r w:rsidR="0031267E">
        <w:rPr>
          <w:sz w:val="24"/>
          <w:szCs w:val="24"/>
        </w:rPr>
        <w:t xml:space="preserve"> and 7</w:t>
      </w:r>
      <w:r>
        <w:rPr>
          <w:sz w:val="24"/>
          <w:szCs w:val="24"/>
        </w:rPr>
        <w:t>.</w:t>
      </w:r>
    </w:p>
    <w:p w:rsidR="0078485A" w:rsidRDefault="0078485A" w:rsidP="0078485A">
      <w:pPr>
        <w:spacing w:after="0" w:line="360" w:lineRule="auto"/>
        <w:jc w:val="center"/>
        <w:rPr>
          <w:sz w:val="24"/>
          <w:szCs w:val="24"/>
        </w:rPr>
      </w:pPr>
      <w:r>
        <w:rPr>
          <w:sz w:val="24"/>
          <w:szCs w:val="24"/>
        </w:rPr>
        <w:t>Chart</w:t>
      </w:r>
      <w:r w:rsidR="0031267E">
        <w:rPr>
          <w:sz w:val="24"/>
          <w:szCs w:val="24"/>
        </w:rPr>
        <w:t>s</w:t>
      </w:r>
      <w:r>
        <w:rPr>
          <w:sz w:val="24"/>
          <w:szCs w:val="24"/>
        </w:rPr>
        <w:t xml:space="preserve"> 6 </w:t>
      </w:r>
      <w:r w:rsidR="0031267E">
        <w:rPr>
          <w:sz w:val="24"/>
          <w:szCs w:val="24"/>
        </w:rPr>
        <w:t xml:space="preserve">and 7 </w:t>
      </w:r>
      <w:r>
        <w:rPr>
          <w:sz w:val="24"/>
          <w:szCs w:val="24"/>
        </w:rPr>
        <w:t>about here</w:t>
      </w:r>
    </w:p>
    <w:p w:rsidR="0078485A" w:rsidRDefault="009F6ED1" w:rsidP="006076F6">
      <w:pPr>
        <w:spacing w:after="0" w:line="360" w:lineRule="auto"/>
        <w:jc w:val="both"/>
        <w:rPr>
          <w:sz w:val="24"/>
          <w:szCs w:val="24"/>
        </w:rPr>
      </w:pPr>
      <w:r>
        <w:rPr>
          <w:sz w:val="24"/>
          <w:szCs w:val="24"/>
        </w:rPr>
        <w:t xml:space="preserve">An investor enters with probability 1 at one of the P/E deciles, and then moves in future years through the deciles with the probabilities shown in Table 1. Each move multiplies the current wealth according to the one-year returns in Table 2. This ceases when the company enters the Dead state or the time horizon is reached, when the final wealth is assigned. We repeated this over 10,000 simulations with time horizons varying from one to ten years. </w:t>
      </w:r>
      <w:r w:rsidR="00C51DEA">
        <w:rPr>
          <w:sz w:val="24"/>
          <w:szCs w:val="24"/>
        </w:rPr>
        <w:t xml:space="preserve">The results are shown in </w:t>
      </w:r>
      <w:r>
        <w:rPr>
          <w:sz w:val="24"/>
          <w:szCs w:val="24"/>
        </w:rPr>
        <w:t xml:space="preserve">Table </w:t>
      </w:r>
      <w:r w:rsidR="00CD1178">
        <w:rPr>
          <w:sz w:val="24"/>
          <w:szCs w:val="24"/>
        </w:rPr>
        <w:t>6</w:t>
      </w:r>
      <w:r>
        <w:rPr>
          <w:sz w:val="24"/>
          <w:szCs w:val="24"/>
        </w:rPr>
        <w:t>.</w:t>
      </w:r>
    </w:p>
    <w:p w:rsidR="009F6ED1" w:rsidRDefault="009F6ED1" w:rsidP="00B343A7">
      <w:pPr>
        <w:spacing w:after="0" w:line="360" w:lineRule="auto"/>
        <w:jc w:val="center"/>
        <w:rPr>
          <w:sz w:val="24"/>
          <w:szCs w:val="24"/>
        </w:rPr>
      </w:pPr>
      <w:r>
        <w:rPr>
          <w:sz w:val="24"/>
          <w:szCs w:val="24"/>
        </w:rPr>
        <w:t xml:space="preserve">Table </w:t>
      </w:r>
      <w:r w:rsidR="00CD1178">
        <w:rPr>
          <w:sz w:val="24"/>
          <w:szCs w:val="24"/>
        </w:rPr>
        <w:t>6</w:t>
      </w:r>
      <w:r>
        <w:rPr>
          <w:sz w:val="24"/>
          <w:szCs w:val="24"/>
        </w:rPr>
        <w:t xml:space="preserve"> about here</w:t>
      </w:r>
    </w:p>
    <w:p w:rsidR="00C51DEA" w:rsidRDefault="00C51DEA" w:rsidP="006076F6">
      <w:pPr>
        <w:spacing w:after="0" w:line="360" w:lineRule="auto"/>
        <w:jc w:val="both"/>
        <w:rPr>
          <w:sz w:val="24"/>
          <w:szCs w:val="24"/>
        </w:rPr>
      </w:pPr>
      <w:r>
        <w:rPr>
          <w:sz w:val="24"/>
          <w:szCs w:val="24"/>
        </w:rPr>
        <w:t>S</w:t>
      </w:r>
      <w:r w:rsidR="00B343A7">
        <w:rPr>
          <w:sz w:val="24"/>
          <w:szCs w:val="24"/>
        </w:rPr>
        <w:t xml:space="preserve">hares in the extreme loser decile </w:t>
      </w:r>
      <w:r>
        <w:rPr>
          <w:sz w:val="24"/>
          <w:szCs w:val="24"/>
        </w:rPr>
        <w:t>have respectable</w:t>
      </w:r>
      <w:r w:rsidR="00B343A7">
        <w:rPr>
          <w:sz w:val="24"/>
          <w:szCs w:val="24"/>
        </w:rPr>
        <w:t xml:space="preserve"> mean returns, but the median returns are very poor and the standard deviation of returns is double what it is for the glamour and value deciles. Any good returns from a</w:t>
      </w:r>
      <w:r>
        <w:rPr>
          <w:sz w:val="24"/>
          <w:szCs w:val="24"/>
        </w:rPr>
        <w:t>n extreme</w:t>
      </w:r>
      <w:r w:rsidR="00B343A7">
        <w:rPr>
          <w:sz w:val="24"/>
          <w:szCs w:val="24"/>
        </w:rPr>
        <w:t xml:space="preserve"> loser stock depend on the company becoming profitable, or at least stopping making such heavy losses, but each year there is a 27.11+31.84=58.95% chance of the company either ceasing to be quoted or remaining a Loser 1 stock. </w:t>
      </w:r>
    </w:p>
    <w:p w:rsidR="009F6ED1" w:rsidRDefault="00B343A7" w:rsidP="006076F6">
      <w:pPr>
        <w:spacing w:after="0" w:line="360" w:lineRule="auto"/>
        <w:jc w:val="both"/>
        <w:rPr>
          <w:sz w:val="24"/>
          <w:szCs w:val="24"/>
        </w:rPr>
      </w:pPr>
      <w:r>
        <w:rPr>
          <w:sz w:val="24"/>
          <w:szCs w:val="24"/>
        </w:rPr>
        <w:t xml:space="preserve">There are no particular surprises in the returns of glamour stocks. Both mean and median returns remain at about 11-12% and appreciably below those of value stocks for all except the ten-year horizon. The surprise is in fact in the value stocks: for a one-year holding period the median return is almost 5% below the mean. This indicates that good returns over what a value investor would consider </w:t>
      </w:r>
      <w:r w:rsidR="00C51DEA">
        <w:rPr>
          <w:sz w:val="24"/>
          <w:szCs w:val="24"/>
        </w:rPr>
        <w:t>the</w:t>
      </w:r>
      <w:r>
        <w:rPr>
          <w:sz w:val="24"/>
          <w:szCs w:val="24"/>
        </w:rPr>
        <w:t xml:space="preserve"> short holding period </w:t>
      </w:r>
      <w:r w:rsidR="00C51DEA">
        <w:rPr>
          <w:sz w:val="24"/>
          <w:szCs w:val="24"/>
        </w:rPr>
        <w:t xml:space="preserve">of one year </w:t>
      </w:r>
      <w:r>
        <w:rPr>
          <w:sz w:val="24"/>
          <w:szCs w:val="24"/>
        </w:rPr>
        <w:t xml:space="preserve">depend on the stock </w:t>
      </w:r>
      <w:r w:rsidR="00B25852">
        <w:rPr>
          <w:sz w:val="24"/>
          <w:szCs w:val="24"/>
        </w:rPr>
        <w:t xml:space="preserve">being awarded a higher P/E. </w:t>
      </w:r>
      <w:r w:rsidR="0008672C">
        <w:rPr>
          <w:sz w:val="24"/>
          <w:szCs w:val="24"/>
        </w:rPr>
        <w:t xml:space="preserve">From Table 1, this is 0.4029 (decile 15 </w:t>
      </w:r>
      <w:r w:rsidR="0008672C" w:rsidRPr="0008672C">
        <w:rPr>
          <w:sz w:val="24"/>
          <w:szCs w:val="24"/>
        </w:rPr>
        <w:sym w:font="Wingdings" w:char="F0E0"/>
      </w:r>
      <w:r w:rsidR="0008672C">
        <w:rPr>
          <w:sz w:val="24"/>
          <w:szCs w:val="24"/>
        </w:rPr>
        <w:t xml:space="preserve"> 06 ... 14). </w:t>
      </w:r>
      <w:r w:rsidR="00AA7EFA">
        <w:rPr>
          <w:sz w:val="24"/>
          <w:szCs w:val="24"/>
        </w:rPr>
        <w:t>It may also explain why value investing is more popular among individuals than fund managers: for a fund manager for whom a one-year horizon is a long time, the poor median returns on value stocks may be decisive</w:t>
      </w:r>
      <w:r w:rsidR="0008672C">
        <w:rPr>
          <w:sz w:val="24"/>
          <w:szCs w:val="24"/>
        </w:rPr>
        <w:t xml:space="preserve"> in career terms</w:t>
      </w:r>
      <w:r w:rsidR="00AA7EFA">
        <w:rPr>
          <w:sz w:val="24"/>
          <w:szCs w:val="24"/>
        </w:rPr>
        <w:t xml:space="preserve">. </w:t>
      </w:r>
      <w:r w:rsidR="00B25852">
        <w:rPr>
          <w:sz w:val="24"/>
          <w:szCs w:val="24"/>
        </w:rPr>
        <w:t xml:space="preserve">The best returns are over the two to three year </w:t>
      </w:r>
      <w:r w:rsidR="00B25852">
        <w:rPr>
          <w:sz w:val="24"/>
          <w:szCs w:val="24"/>
        </w:rPr>
        <w:lastRenderedPageBreak/>
        <w:t>holding period that value investors typically recommend</w:t>
      </w:r>
      <w:r w:rsidR="0008672C">
        <w:rPr>
          <w:sz w:val="24"/>
          <w:szCs w:val="24"/>
        </w:rPr>
        <w:t>: from Table 5, 21.22% for the second year and 15.02% in year 3.</w:t>
      </w:r>
      <w:r w:rsidR="00B25852">
        <w:rPr>
          <w:sz w:val="24"/>
          <w:szCs w:val="24"/>
        </w:rPr>
        <w:t xml:space="preserve"> </w:t>
      </w:r>
      <w:r w:rsidR="0008672C">
        <w:rPr>
          <w:sz w:val="24"/>
          <w:szCs w:val="24"/>
        </w:rPr>
        <w:t>A</w:t>
      </w:r>
      <w:r w:rsidR="00B25852">
        <w:rPr>
          <w:sz w:val="24"/>
          <w:szCs w:val="24"/>
        </w:rPr>
        <w:t>fter that they decline to little more than the returns on glamour shares.</w:t>
      </w:r>
      <w:r w:rsidR="0008672C">
        <w:rPr>
          <w:sz w:val="24"/>
          <w:szCs w:val="24"/>
        </w:rPr>
        <w:t xml:space="preserve"> The value decile’s standard deviation of returns is only slightly more than that of the glamour decile, and not enough to account for the higher returns.</w:t>
      </w:r>
    </w:p>
    <w:p w:rsidR="00AA7EFA" w:rsidRDefault="007767A4" w:rsidP="006076F6">
      <w:pPr>
        <w:spacing w:after="0" w:line="360" w:lineRule="auto"/>
        <w:jc w:val="both"/>
        <w:rPr>
          <w:sz w:val="24"/>
          <w:szCs w:val="24"/>
        </w:rPr>
      </w:pPr>
      <w:r>
        <w:rPr>
          <w:sz w:val="24"/>
          <w:szCs w:val="24"/>
        </w:rPr>
        <w:t xml:space="preserve">Chart 8 </w:t>
      </w:r>
      <w:r w:rsidR="00AA7EFA">
        <w:rPr>
          <w:sz w:val="24"/>
          <w:szCs w:val="24"/>
        </w:rPr>
        <w:t xml:space="preserve">shows the time in state of </w:t>
      </w:r>
      <w:r>
        <w:rPr>
          <w:sz w:val="24"/>
          <w:szCs w:val="24"/>
        </w:rPr>
        <w:t>Table 5’s t</w:t>
      </w:r>
      <w:r w:rsidR="00AA7EFA">
        <w:rPr>
          <w:sz w:val="24"/>
          <w:szCs w:val="24"/>
        </w:rPr>
        <w:t>hree</w:t>
      </w:r>
      <w:r>
        <w:rPr>
          <w:sz w:val="24"/>
          <w:szCs w:val="24"/>
        </w:rPr>
        <w:t xml:space="preserve"> initial investments over the nine subsequent years of a ten-year horizon.</w:t>
      </w:r>
    </w:p>
    <w:p w:rsidR="00AA7EFA" w:rsidRDefault="007767A4" w:rsidP="00AA7EFA">
      <w:pPr>
        <w:spacing w:after="0" w:line="360" w:lineRule="auto"/>
        <w:jc w:val="center"/>
        <w:rPr>
          <w:sz w:val="24"/>
          <w:szCs w:val="24"/>
        </w:rPr>
      </w:pPr>
      <w:r>
        <w:rPr>
          <w:sz w:val="24"/>
          <w:szCs w:val="24"/>
        </w:rPr>
        <w:t>Chart 8</w:t>
      </w:r>
      <w:r w:rsidR="00AA7EFA">
        <w:rPr>
          <w:sz w:val="24"/>
          <w:szCs w:val="24"/>
        </w:rPr>
        <w:t xml:space="preserve"> about here</w:t>
      </w:r>
    </w:p>
    <w:p w:rsidR="00AA7EFA" w:rsidRDefault="007767A4" w:rsidP="006076F6">
      <w:pPr>
        <w:spacing w:after="0" w:line="360" w:lineRule="auto"/>
        <w:jc w:val="both"/>
        <w:rPr>
          <w:sz w:val="24"/>
          <w:szCs w:val="24"/>
        </w:rPr>
      </w:pPr>
      <w:r>
        <w:rPr>
          <w:sz w:val="24"/>
          <w:szCs w:val="24"/>
        </w:rPr>
        <w:t xml:space="preserve">It can be seen that heavily loss-making companies find it hard to climb out of their loss-making status, even though good returns may be had simply by becoming less loss-making. The wide spread of glamour shares </w:t>
      </w:r>
      <w:r w:rsidR="0008672C">
        <w:rPr>
          <w:sz w:val="24"/>
          <w:szCs w:val="24"/>
        </w:rPr>
        <w:t xml:space="preserve">across deciles in subsequent years </w:t>
      </w:r>
      <w:r>
        <w:rPr>
          <w:sz w:val="24"/>
          <w:szCs w:val="24"/>
        </w:rPr>
        <w:t>is evident: an initial glamour share in fact spends 10% more time as a loss-maker than a value share does. The concentration of value shares in the high E/P (low P/E) range</w:t>
      </w:r>
      <w:r w:rsidR="0008672C">
        <w:rPr>
          <w:sz w:val="24"/>
          <w:szCs w:val="24"/>
        </w:rPr>
        <w:t>, even over a ten-year holding period,</w:t>
      </w:r>
      <w:r>
        <w:rPr>
          <w:sz w:val="24"/>
          <w:szCs w:val="24"/>
        </w:rPr>
        <w:t xml:space="preserve"> is also clear.</w:t>
      </w:r>
    </w:p>
    <w:p w:rsidR="0078485A" w:rsidRPr="0078485A" w:rsidRDefault="0078485A" w:rsidP="006076F6">
      <w:pPr>
        <w:spacing w:after="0" w:line="360" w:lineRule="auto"/>
        <w:jc w:val="both"/>
        <w:rPr>
          <w:sz w:val="24"/>
          <w:szCs w:val="24"/>
        </w:rPr>
      </w:pPr>
    </w:p>
    <w:p w:rsidR="004F00F3" w:rsidRDefault="004F00F3">
      <w:pPr>
        <w:spacing w:after="0" w:line="240" w:lineRule="auto"/>
        <w:rPr>
          <w:b/>
          <w:sz w:val="24"/>
          <w:szCs w:val="24"/>
        </w:rPr>
      </w:pPr>
      <w:r>
        <w:rPr>
          <w:b/>
          <w:sz w:val="24"/>
          <w:szCs w:val="24"/>
        </w:rPr>
        <w:br w:type="page"/>
      </w:r>
    </w:p>
    <w:p w:rsidR="00EC5AD8" w:rsidRPr="00DB620E" w:rsidRDefault="0078485A" w:rsidP="006076F6">
      <w:pPr>
        <w:spacing w:after="0" w:line="360" w:lineRule="auto"/>
        <w:jc w:val="both"/>
        <w:rPr>
          <w:b/>
          <w:sz w:val="24"/>
          <w:szCs w:val="24"/>
        </w:rPr>
      </w:pPr>
      <w:r>
        <w:rPr>
          <w:b/>
          <w:sz w:val="24"/>
          <w:szCs w:val="24"/>
        </w:rPr>
        <w:lastRenderedPageBreak/>
        <w:t>7</w:t>
      </w:r>
      <w:r w:rsidR="00411827">
        <w:rPr>
          <w:b/>
          <w:sz w:val="24"/>
          <w:szCs w:val="24"/>
        </w:rPr>
        <w:t>. Conclusion</w:t>
      </w:r>
    </w:p>
    <w:p w:rsidR="00411827" w:rsidRPr="00203FC7" w:rsidRDefault="005F3D3A" w:rsidP="00983F72">
      <w:pPr>
        <w:pStyle w:val="Heading1"/>
        <w:widowControl/>
        <w:spacing w:line="360" w:lineRule="auto"/>
        <w:rPr>
          <w:rFonts w:ascii="Calibri" w:hAnsi="Calibri" w:cs="Calibri"/>
          <w:b w:val="0"/>
          <w:bCs/>
          <w:color w:val="FF0000"/>
          <w:sz w:val="24"/>
          <w:szCs w:val="24"/>
          <w:u w:val="none"/>
        </w:rPr>
      </w:pPr>
      <w:r>
        <w:rPr>
          <w:rFonts w:ascii="Calibri" w:hAnsi="Calibri" w:cs="Calibri"/>
          <w:b w:val="0"/>
          <w:bCs/>
          <w:sz w:val="24"/>
          <w:szCs w:val="24"/>
          <w:u w:val="none"/>
        </w:rPr>
        <w:t xml:space="preserve">Several important results can be reported from this investigation. </w:t>
      </w:r>
      <w:r w:rsidR="00411827" w:rsidRPr="00203FC7">
        <w:rPr>
          <w:rFonts w:ascii="Calibri" w:hAnsi="Calibri" w:cs="Calibri"/>
          <w:b w:val="0"/>
          <w:bCs/>
          <w:color w:val="FF0000"/>
          <w:sz w:val="24"/>
          <w:szCs w:val="24"/>
          <w:u w:val="none"/>
        </w:rPr>
        <w:t xml:space="preserve">Using </w:t>
      </w:r>
      <w:r w:rsidR="00203FC7" w:rsidRPr="00203FC7">
        <w:rPr>
          <w:rFonts w:ascii="Calibri" w:hAnsi="Calibri" w:cs="Calibri"/>
          <w:b w:val="0"/>
          <w:bCs/>
          <w:color w:val="FF0000"/>
          <w:sz w:val="24"/>
          <w:szCs w:val="24"/>
          <w:u w:val="none"/>
        </w:rPr>
        <w:t xml:space="preserve">pricing </w:t>
      </w:r>
      <w:r w:rsidR="00411827" w:rsidRPr="00203FC7">
        <w:rPr>
          <w:rFonts w:ascii="Calibri" w:hAnsi="Calibri" w:cs="Calibri"/>
          <w:b w:val="0"/>
          <w:bCs/>
          <w:color w:val="FF0000"/>
          <w:sz w:val="24"/>
          <w:szCs w:val="24"/>
          <w:u w:val="none"/>
        </w:rPr>
        <w:t xml:space="preserve">equations based on the Merton (1974) model, where a company’s equity </w:t>
      </w:r>
      <w:r w:rsidR="00203FC7" w:rsidRPr="00203FC7">
        <w:rPr>
          <w:rFonts w:ascii="Calibri" w:hAnsi="Calibri" w:cs="Calibri"/>
          <w:b w:val="0"/>
          <w:bCs/>
          <w:color w:val="FF0000"/>
          <w:sz w:val="24"/>
          <w:szCs w:val="24"/>
          <w:u w:val="none"/>
        </w:rPr>
        <w:t>is</w:t>
      </w:r>
      <w:r w:rsidR="00411827" w:rsidRPr="00203FC7">
        <w:rPr>
          <w:rFonts w:ascii="Calibri" w:hAnsi="Calibri" w:cs="Calibri"/>
          <w:b w:val="0"/>
          <w:bCs/>
          <w:color w:val="FF0000"/>
          <w:sz w:val="24"/>
          <w:szCs w:val="24"/>
          <w:u w:val="none"/>
        </w:rPr>
        <w:t xml:space="preserve"> an option on the assets of the company, we show that there is no particular reason why the expected price of a value company should be the same as that of a glamour company. For all plausible values of the parameters, the price of a value company is higher.</w:t>
      </w:r>
    </w:p>
    <w:p w:rsidR="00AD3510" w:rsidRDefault="00411827" w:rsidP="00983F72">
      <w:pPr>
        <w:pStyle w:val="Heading1"/>
        <w:widowControl/>
        <w:spacing w:line="360" w:lineRule="auto"/>
        <w:rPr>
          <w:rFonts w:ascii="Calibri" w:hAnsi="Calibri" w:cs="Calibri"/>
          <w:b w:val="0"/>
          <w:bCs/>
          <w:sz w:val="24"/>
          <w:szCs w:val="24"/>
          <w:u w:val="none"/>
        </w:rPr>
      </w:pPr>
      <w:r>
        <w:rPr>
          <w:rFonts w:ascii="Calibri" w:hAnsi="Calibri" w:cs="Calibri"/>
          <w:b w:val="0"/>
          <w:bCs/>
          <w:sz w:val="24"/>
          <w:szCs w:val="24"/>
          <w:u w:val="none"/>
        </w:rPr>
        <w:t>Our data show that t</w:t>
      </w:r>
      <w:r w:rsidR="005F3D3A">
        <w:rPr>
          <w:rFonts w:ascii="Calibri" w:hAnsi="Calibri" w:cs="Calibri"/>
          <w:b w:val="0"/>
          <w:bCs/>
          <w:sz w:val="24"/>
          <w:szCs w:val="24"/>
          <w:u w:val="none"/>
        </w:rPr>
        <w:t>here is a clear bias against recording loss-making firms for all years on CRSP/</w:t>
      </w:r>
      <w:r w:rsidR="007D7E9E">
        <w:rPr>
          <w:rFonts w:ascii="Calibri" w:hAnsi="Calibri" w:cs="Calibri"/>
          <w:b w:val="0"/>
          <w:bCs/>
          <w:sz w:val="24"/>
          <w:szCs w:val="24"/>
          <w:u w:val="none"/>
        </w:rPr>
        <w:t>Compustat</w:t>
      </w:r>
      <w:r w:rsidR="005F3D3A">
        <w:rPr>
          <w:rFonts w:ascii="Calibri" w:hAnsi="Calibri" w:cs="Calibri"/>
          <w:b w:val="0"/>
          <w:bCs/>
          <w:sz w:val="24"/>
          <w:szCs w:val="24"/>
          <w:u w:val="none"/>
        </w:rPr>
        <w:t xml:space="preserve"> before the mid 1980s. Any past conclusions that depend on a view of the whole stock market pre-1980s, rather than just that part of it that is making profits, are therefore in doubt.</w:t>
      </w:r>
    </w:p>
    <w:p w:rsidR="005F3D3A" w:rsidRDefault="005F3D3A" w:rsidP="00983F72">
      <w:pPr>
        <w:spacing w:line="360" w:lineRule="auto"/>
        <w:jc w:val="both"/>
        <w:rPr>
          <w:sz w:val="24"/>
        </w:rPr>
      </w:pPr>
      <w:r w:rsidRPr="005F3D3A">
        <w:rPr>
          <w:sz w:val="24"/>
        </w:rPr>
        <w:t xml:space="preserve">This paper’s main result is to offer an explanation for why investors continue to buy glamour shares, even though hundreds of academic papers </w:t>
      </w:r>
      <w:r>
        <w:rPr>
          <w:sz w:val="24"/>
        </w:rPr>
        <w:t xml:space="preserve">have documented the superior returns of value shares over decades. There is no need to appeal to </w:t>
      </w:r>
      <w:r w:rsidR="00416A62">
        <w:rPr>
          <w:sz w:val="24"/>
        </w:rPr>
        <w:t>elaborate constructions of what constitutes ‘risk’ across the economic cycle: investors may be committing a simple cognitive error. The statistics for shares they see at any particular point of time are taken to be more permanent than they are, and they anchor on them. Applying this heuristic is not so important for value shares, which tend to remain with low P/Es for years. It affects glamour investors much more. Far from the 37.25% returns they may expect to get through their share remaining a glamour share next year, they end up with average returns of only 10.91% and are beaten in their endevors by value investors.</w:t>
      </w:r>
    </w:p>
    <w:p w:rsidR="00416A62" w:rsidRDefault="00416A62" w:rsidP="00983F72">
      <w:pPr>
        <w:spacing w:line="360" w:lineRule="auto"/>
        <w:jc w:val="both"/>
        <w:rPr>
          <w:sz w:val="24"/>
        </w:rPr>
      </w:pPr>
      <w:r>
        <w:rPr>
          <w:sz w:val="24"/>
        </w:rPr>
        <w:t>We calculate the amount by which glamour investors are under-estimating this P/E variability as at least 18%, and probably more. Their reason for investing in a subset of the market is presumably because they expect to beat the market average.</w:t>
      </w:r>
    </w:p>
    <w:p w:rsidR="00416A62" w:rsidRDefault="00416A62" w:rsidP="00983F72">
      <w:pPr>
        <w:spacing w:line="360" w:lineRule="auto"/>
        <w:jc w:val="both"/>
        <w:rPr>
          <w:sz w:val="24"/>
        </w:rPr>
      </w:pPr>
      <w:r>
        <w:rPr>
          <w:sz w:val="24"/>
        </w:rPr>
        <w:t>For the first time in finance research we apply TreeAge decision analysis software to check whether glamour investors can expect any better returns in future years, as their stock moves through the deciles. None is found. We do however replicate the fact that value shares should be held over 2-3 years if their returns are to be maximised.</w:t>
      </w:r>
    </w:p>
    <w:p w:rsidR="00AC04C0" w:rsidRDefault="00416A62" w:rsidP="00983F72">
      <w:pPr>
        <w:spacing w:line="360" w:lineRule="auto"/>
        <w:jc w:val="both"/>
        <w:rPr>
          <w:sz w:val="24"/>
        </w:rPr>
      </w:pPr>
      <w:r>
        <w:rPr>
          <w:sz w:val="24"/>
        </w:rPr>
        <w:t>We suggest t</w:t>
      </w:r>
      <w:r w:rsidR="00AC04C0">
        <w:rPr>
          <w:sz w:val="24"/>
        </w:rPr>
        <w:t>hree</w:t>
      </w:r>
      <w:r>
        <w:rPr>
          <w:sz w:val="24"/>
        </w:rPr>
        <w:t xml:space="preserve"> areas </w:t>
      </w:r>
      <w:r w:rsidR="00670402">
        <w:rPr>
          <w:sz w:val="24"/>
        </w:rPr>
        <w:t>for future research</w:t>
      </w:r>
      <w:r w:rsidR="00AC04C0">
        <w:rPr>
          <w:sz w:val="24"/>
        </w:rPr>
        <w:t>:</w:t>
      </w:r>
    </w:p>
    <w:p w:rsidR="00AC04C0" w:rsidRPr="00203FC7" w:rsidRDefault="00AC04C0" w:rsidP="00983F72">
      <w:pPr>
        <w:spacing w:line="360" w:lineRule="auto"/>
        <w:jc w:val="both"/>
        <w:rPr>
          <w:color w:val="FF0000"/>
          <w:sz w:val="24"/>
        </w:rPr>
      </w:pPr>
      <w:r w:rsidRPr="00203FC7">
        <w:rPr>
          <w:color w:val="FF0000"/>
          <w:sz w:val="24"/>
        </w:rPr>
        <w:t xml:space="preserve">1. </w:t>
      </w:r>
      <w:r w:rsidRPr="00203FC7">
        <w:rPr>
          <w:color w:val="FF0000"/>
          <w:sz w:val="24"/>
          <w:szCs w:val="24"/>
        </w:rPr>
        <w:t xml:space="preserve">The </w:t>
      </w:r>
      <w:r w:rsidR="00204CB8" w:rsidRPr="00203FC7">
        <w:rPr>
          <w:color w:val="FF0000"/>
          <w:sz w:val="24"/>
          <w:szCs w:val="24"/>
        </w:rPr>
        <w:t xml:space="preserve">equations for the expected prices of value and glamour firms that we derive from the </w:t>
      </w:r>
      <w:r w:rsidRPr="00203FC7">
        <w:rPr>
          <w:color w:val="FF0000"/>
          <w:sz w:val="24"/>
          <w:szCs w:val="24"/>
        </w:rPr>
        <w:t xml:space="preserve">Merton </w:t>
      </w:r>
      <w:r w:rsidR="00411827" w:rsidRPr="00203FC7">
        <w:rPr>
          <w:color w:val="FF0000"/>
          <w:sz w:val="24"/>
          <w:szCs w:val="24"/>
        </w:rPr>
        <w:t xml:space="preserve">(1974) </w:t>
      </w:r>
      <w:r w:rsidRPr="00203FC7">
        <w:rPr>
          <w:color w:val="FF0000"/>
          <w:sz w:val="24"/>
          <w:szCs w:val="24"/>
        </w:rPr>
        <w:t xml:space="preserve">model </w:t>
      </w:r>
      <w:r w:rsidR="00411827" w:rsidRPr="00203FC7">
        <w:rPr>
          <w:color w:val="FF0000"/>
          <w:sz w:val="24"/>
          <w:szCs w:val="24"/>
        </w:rPr>
        <w:t xml:space="preserve">in section two </w:t>
      </w:r>
      <w:r w:rsidR="00204CB8" w:rsidRPr="00203FC7">
        <w:rPr>
          <w:color w:val="FF0000"/>
          <w:sz w:val="24"/>
          <w:szCs w:val="24"/>
        </w:rPr>
        <w:t>are</w:t>
      </w:r>
      <w:r w:rsidR="00411827" w:rsidRPr="00203FC7">
        <w:rPr>
          <w:color w:val="FF0000"/>
          <w:sz w:val="24"/>
          <w:szCs w:val="24"/>
        </w:rPr>
        <w:t xml:space="preserve"> able to show that there is no reason to expect the </w:t>
      </w:r>
      <w:proofErr w:type="gramStart"/>
      <w:r w:rsidR="00411827" w:rsidRPr="00203FC7">
        <w:rPr>
          <w:color w:val="FF0000"/>
          <w:sz w:val="24"/>
          <w:szCs w:val="24"/>
        </w:rPr>
        <w:lastRenderedPageBreak/>
        <w:t>prices</w:t>
      </w:r>
      <w:proofErr w:type="gramEnd"/>
      <w:r w:rsidR="00411827" w:rsidRPr="00203FC7">
        <w:rPr>
          <w:color w:val="FF0000"/>
          <w:sz w:val="24"/>
          <w:szCs w:val="24"/>
        </w:rPr>
        <w:t xml:space="preserve"> of value and glamour shares to evolve similarly. However we have not demonstrated that the P/E of value shares is likely to get larger quicker for value shares because we have not modelled earnings. The Merton model is also </w:t>
      </w:r>
      <w:r w:rsidRPr="00203FC7">
        <w:rPr>
          <w:color w:val="FF0000"/>
          <w:sz w:val="24"/>
          <w:szCs w:val="24"/>
        </w:rPr>
        <w:t>rather primitive in that it is a single-step model</w:t>
      </w:r>
      <w:r w:rsidR="00411827" w:rsidRPr="00203FC7">
        <w:rPr>
          <w:color w:val="FF0000"/>
          <w:sz w:val="24"/>
          <w:szCs w:val="24"/>
        </w:rPr>
        <w:t xml:space="preserve">. To look at the evolution of E, and hence the P/E, </w:t>
      </w:r>
      <w:r w:rsidRPr="00203FC7">
        <w:rPr>
          <w:color w:val="FF0000"/>
          <w:sz w:val="24"/>
          <w:szCs w:val="24"/>
        </w:rPr>
        <w:t xml:space="preserve">a multi-step model </w:t>
      </w:r>
      <w:r w:rsidR="00411827" w:rsidRPr="00203FC7">
        <w:rPr>
          <w:color w:val="FF0000"/>
          <w:sz w:val="24"/>
          <w:szCs w:val="24"/>
        </w:rPr>
        <w:t>is necessary.</w:t>
      </w:r>
    </w:p>
    <w:p w:rsidR="00416A62" w:rsidRDefault="00AC04C0" w:rsidP="00983F72">
      <w:pPr>
        <w:spacing w:line="360" w:lineRule="auto"/>
        <w:jc w:val="both"/>
        <w:rPr>
          <w:sz w:val="24"/>
        </w:rPr>
      </w:pPr>
      <w:r>
        <w:rPr>
          <w:sz w:val="24"/>
        </w:rPr>
        <w:t xml:space="preserve">2. </w:t>
      </w:r>
      <w:r w:rsidR="00670402">
        <w:rPr>
          <w:sz w:val="24"/>
        </w:rPr>
        <w:t xml:space="preserve">We have not addressed whether a company’s P/E has a memory of more than one year. Initial calculations on a handful of companies with long P/E histories indicate that multi-period auto-correlation is not zero. In this case the assumptions of the Markov model do not hold, at least </w:t>
      </w:r>
      <w:bookmarkStart w:id="0" w:name="_GoBack"/>
      <w:bookmarkEnd w:id="0"/>
      <w:r w:rsidR="00670402">
        <w:rPr>
          <w:sz w:val="24"/>
        </w:rPr>
        <w:t>on the level of individual companies.</w:t>
      </w:r>
    </w:p>
    <w:p w:rsidR="00670402" w:rsidRPr="005F3D3A" w:rsidRDefault="00AC04C0" w:rsidP="00983F72">
      <w:pPr>
        <w:spacing w:line="360" w:lineRule="auto"/>
        <w:jc w:val="both"/>
        <w:rPr>
          <w:sz w:val="24"/>
        </w:rPr>
      </w:pPr>
      <w:r>
        <w:rPr>
          <w:sz w:val="24"/>
        </w:rPr>
        <w:t xml:space="preserve">3. </w:t>
      </w:r>
      <w:r w:rsidR="00670402">
        <w:rPr>
          <w:sz w:val="24"/>
        </w:rPr>
        <w:t>The Markov model we have implemented in TreeAge is relatively simple. It could be expanded to invest in multiple companies simultaneously, rather than just one, but the correlation of returns between companies would then have to be addressed. A company’s transition probabilities could be made to depend on the history of P/Es instead of just the current P/E. Investors could also set stop-losses. The software’s capabilities enable much more complex and realistic models to be programmed, and it is a surprise to us that it has not been used in any finance research before.</w:t>
      </w:r>
    </w:p>
    <w:p w:rsidR="00EC5AD8" w:rsidRPr="00DB620E" w:rsidRDefault="00EC5AD8" w:rsidP="00D8299A">
      <w:pPr>
        <w:pStyle w:val="Heading1"/>
        <w:widowControl/>
        <w:spacing w:line="360" w:lineRule="auto"/>
        <w:rPr>
          <w:rFonts w:ascii="Calibri" w:hAnsi="Calibri"/>
          <w:bCs/>
          <w:sz w:val="24"/>
          <w:szCs w:val="24"/>
        </w:rPr>
      </w:pPr>
      <w:r w:rsidRPr="00DB620E">
        <w:rPr>
          <w:rFonts w:ascii="Calibri" w:hAnsi="Calibri" w:cs="Calibri"/>
          <w:bCs/>
          <w:sz w:val="24"/>
          <w:szCs w:val="24"/>
        </w:rPr>
        <w:br w:type="page"/>
      </w:r>
      <w:r w:rsidRPr="00DB620E">
        <w:rPr>
          <w:rFonts w:ascii="Calibri" w:hAnsi="Calibri"/>
          <w:bCs/>
          <w:sz w:val="24"/>
          <w:szCs w:val="24"/>
        </w:rPr>
        <w:lastRenderedPageBreak/>
        <w:t>References</w:t>
      </w:r>
    </w:p>
    <w:p w:rsidR="00E97055" w:rsidRDefault="00E97055" w:rsidP="00D8299A">
      <w:pPr>
        <w:widowControl w:val="0"/>
        <w:autoSpaceDE w:val="0"/>
        <w:autoSpaceDN w:val="0"/>
        <w:adjustRightInd w:val="0"/>
        <w:jc w:val="both"/>
        <w:rPr>
          <w:sz w:val="24"/>
          <w:szCs w:val="24"/>
        </w:rPr>
      </w:pPr>
      <w:proofErr w:type="spellStart"/>
      <w:proofErr w:type="gramStart"/>
      <w:r>
        <w:rPr>
          <w:sz w:val="24"/>
          <w:szCs w:val="24"/>
        </w:rPr>
        <w:t>Alcock</w:t>
      </w:r>
      <w:proofErr w:type="spellEnd"/>
      <w:r>
        <w:rPr>
          <w:sz w:val="24"/>
          <w:szCs w:val="24"/>
        </w:rPr>
        <w:t xml:space="preserve">, J., </w:t>
      </w:r>
      <w:proofErr w:type="spellStart"/>
      <w:r>
        <w:rPr>
          <w:sz w:val="24"/>
          <w:szCs w:val="24"/>
        </w:rPr>
        <w:t>Mollee</w:t>
      </w:r>
      <w:proofErr w:type="spellEnd"/>
      <w:r>
        <w:rPr>
          <w:sz w:val="24"/>
          <w:szCs w:val="24"/>
        </w:rPr>
        <w:t>, T. &amp; Wood, J. 2011.</w:t>
      </w:r>
      <w:proofErr w:type="gramEnd"/>
      <w:r>
        <w:rPr>
          <w:sz w:val="24"/>
          <w:szCs w:val="24"/>
        </w:rPr>
        <w:t xml:space="preserve"> </w:t>
      </w:r>
      <w:proofErr w:type="gramStart"/>
      <w:r>
        <w:rPr>
          <w:sz w:val="24"/>
          <w:szCs w:val="24"/>
        </w:rPr>
        <w:t>Volatile earnings growth, the price of earnings and the value premium.</w:t>
      </w:r>
      <w:proofErr w:type="gramEnd"/>
      <w:r>
        <w:rPr>
          <w:sz w:val="24"/>
          <w:szCs w:val="24"/>
        </w:rPr>
        <w:t xml:space="preserve"> </w:t>
      </w:r>
      <w:r w:rsidRPr="00E97055">
        <w:rPr>
          <w:i/>
          <w:sz w:val="24"/>
          <w:szCs w:val="24"/>
        </w:rPr>
        <w:t>Quantitative Finance</w:t>
      </w:r>
      <w:r>
        <w:rPr>
          <w:sz w:val="24"/>
          <w:szCs w:val="24"/>
        </w:rPr>
        <w:t>, 11(6): 805-815.</w:t>
      </w:r>
    </w:p>
    <w:p w:rsidR="00DD3773" w:rsidRDefault="00DD3773" w:rsidP="00D8299A">
      <w:pPr>
        <w:widowControl w:val="0"/>
        <w:autoSpaceDE w:val="0"/>
        <w:autoSpaceDN w:val="0"/>
        <w:adjustRightInd w:val="0"/>
        <w:jc w:val="both"/>
        <w:rPr>
          <w:sz w:val="24"/>
          <w:szCs w:val="24"/>
        </w:rPr>
      </w:pPr>
      <w:r w:rsidRPr="00DD3773">
        <w:rPr>
          <w:sz w:val="24"/>
          <w:szCs w:val="24"/>
        </w:rPr>
        <w:t xml:space="preserve">Ball, R. 1978. </w:t>
      </w:r>
      <w:proofErr w:type="gramStart"/>
      <w:r w:rsidRPr="00DD3773">
        <w:rPr>
          <w:sz w:val="24"/>
          <w:szCs w:val="24"/>
        </w:rPr>
        <w:t>Anomalies in Relationships between Securities' Yields and Yield-Surrogates.</w:t>
      </w:r>
      <w:proofErr w:type="gramEnd"/>
      <w:r w:rsidRPr="00DD3773">
        <w:rPr>
          <w:sz w:val="24"/>
          <w:szCs w:val="24"/>
        </w:rPr>
        <w:t xml:space="preserve"> </w:t>
      </w:r>
      <w:r w:rsidRPr="00DD3773">
        <w:rPr>
          <w:i/>
          <w:sz w:val="24"/>
          <w:szCs w:val="24"/>
        </w:rPr>
        <w:t>Journal of Financial Economics</w:t>
      </w:r>
      <w:r w:rsidRPr="00DD3773">
        <w:rPr>
          <w:sz w:val="24"/>
          <w:szCs w:val="24"/>
        </w:rPr>
        <w:t>, 6(2/3): 103-26.</w:t>
      </w:r>
    </w:p>
    <w:p w:rsidR="0055510B" w:rsidRPr="00DB620E" w:rsidRDefault="0055510B" w:rsidP="00D8299A">
      <w:pPr>
        <w:widowControl w:val="0"/>
        <w:autoSpaceDE w:val="0"/>
        <w:autoSpaceDN w:val="0"/>
        <w:adjustRightInd w:val="0"/>
        <w:jc w:val="both"/>
        <w:rPr>
          <w:sz w:val="24"/>
          <w:szCs w:val="24"/>
        </w:rPr>
      </w:pPr>
      <w:proofErr w:type="spellStart"/>
      <w:r w:rsidRPr="00DB620E">
        <w:rPr>
          <w:sz w:val="24"/>
          <w:szCs w:val="24"/>
        </w:rPr>
        <w:t>Basu</w:t>
      </w:r>
      <w:proofErr w:type="spellEnd"/>
      <w:r w:rsidRPr="00DB620E">
        <w:rPr>
          <w:sz w:val="24"/>
          <w:szCs w:val="24"/>
        </w:rPr>
        <w:t xml:space="preserve">, S. 1975. </w:t>
      </w:r>
      <w:proofErr w:type="gramStart"/>
      <w:r w:rsidRPr="00DB620E">
        <w:rPr>
          <w:sz w:val="24"/>
          <w:szCs w:val="24"/>
        </w:rPr>
        <w:t>The Information Content of Price-Earnings Ratios.</w:t>
      </w:r>
      <w:proofErr w:type="gramEnd"/>
      <w:r w:rsidRPr="00DB620E">
        <w:rPr>
          <w:sz w:val="24"/>
          <w:szCs w:val="24"/>
        </w:rPr>
        <w:t xml:space="preserve"> </w:t>
      </w:r>
      <w:r w:rsidRPr="00DB620E">
        <w:rPr>
          <w:i/>
          <w:iCs/>
          <w:sz w:val="24"/>
          <w:szCs w:val="24"/>
        </w:rPr>
        <w:t>Financial Management</w:t>
      </w:r>
      <w:r w:rsidRPr="00DB620E">
        <w:rPr>
          <w:sz w:val="24"/>
          <w:szCs w:val="24"/>
        </w:rPr>
        <w:t>, 4(2): 53-64.</w:t>
      </w:r>
    </w:p>
    <w:p w:rsidR="00AD54D4" w:rsidRDefault="00AD54D4" w:rsidP="00D8299A">
      <w:pPr>
        <w:widowControl w:val="0"/>
        <w:autoSpaceDE w:val="0"/>
        <w:autoSpaceDN w:val="0"/>
        <w:adjustRightInd w:val="0"/>
        <w:jc w:val="both"/>
        <w:rPr>
          <w:sz w:val="24"/>
          <w:szCs w:val="24"/>
        </w:rPr>
      </w:pPr>
      <w:proofErr w:type="gramStart"/>
      <w:r w:rsidRPr="00AD54D4">
        <w:rPr>
          <w:sz w:val="24"/>
          <w:szCs w:val="24"/>
        </w:rPr>
        <w:t xml:space="preserve">Chan, L.C.K., </w:t>
      </w:r>
      <w:proofErr w:type="spellStart"/>
      <w:r w:rsidRPr="00AD54D4">
        <w:rPr>
          <w:sz w:val="24"/>
          <w:szCs w:val="24"/>
        </w:rPr>
        <w:t>Karceski</w:t>
      </w:r>
      <w:proofErr w:type="spellEnd"/>
      <w:r w:rsidRPr="00AD54D4">
        <w:rPr>
          <w:sz w:val="24"/>
          <w:szCs w:val="24"/>
        </w:rPr>
        <w:t>, J. &amp; Lakonishok, J. 2003.</w:t>
      </w:r>
      <w:proofErr w:type="gramEnd"/>
      <w:r w:rsidRPr="00AD54D4">
        <w:rPr>
          <w:sz w:val="24"/>
          <w:szCs w:val="24"/>
        </w:rPr>
        <w:t xml:space="preserve"> </w:t>
      </w:r>
      <w:proofErr w:type="gramStart"/>
      <w:r w:rsidRPr="00AD54D4">
        <w:rPr>
          <w:sz w:val="24"/>
          <w:szCs w:val="24"/>
        </w:rPr>
        <w:t>The Level and Persistence of Growth Rates.</w:t>
      </w:r>
      <w:proofErr w:type="gramEnd"/>
      <w:r w:rsidRPr="00AD54D4">
        <w:rPr>
          <w:sz w:val="24"/>
          <w:szCs w:val="24"/>
        </w:rPr>
        <w:t xml:space="preserve"> </w:t>
      </w:r>
      <w:r w:rsidRPr="00AD54D4">
        <w:rPr>
          <w:i/>
          <w:sz w:val="24"/>
          <w:szCs w:val="24"/>
        </w:rPr>
        <w:t>The Journal of Finance</w:t>
      </w:r>
      <w:r w:rsidRPr="00AD54D4">
        <w:rPr>
          <w:sz w:val="24"/>
          <w:szCs w:val="24"/>
        </w:rPr>
        <w:t>, 58(2): 643-84.</w:t>
      </w:r>
    </w:p>
    <w:p w:rsidR="006D4B06" w:rsidRDefault="006D4B06" w:rsidP="00D8299A">
      <w:pPr>
        <w:widowControl w:val="0"/>
        <w:autoSpaceDE w:val="0"/>
        <w:autoSpaceDN w:val="0"/>
        <w:adjustRightInd w:val="0"/>
        <w:jc w:val="both"/>
        <w:rPr>
          <w:sz w:val="24"/>
          <w:szCs w:val="24"/>
        </w:rPr>
      </w:pPr>
      <w:proofErr w:type="gramStart"/>
      <w:r>
        <w:rPr>
          <w:sz w:val="24"/>
          <w:szCs w:val="24"/>
        </w:rPr>
        <w:t xml:space="preserve">Chiang, R., Davidson, I. &amp; </w:t>
      </w:r>
      <w:proofErr w:type="spellStart"/>
      <w:r>
        <w:rPr>
          <w:sz w:val="24"/>
          <w:szCs w:val="24"/>
        </w:rPr>
        <w:t>Okunev</w:t>
      </w:r>
      <w:proofErr w:type="spellEnd"/>
      <w:r>
        <w:rPr>
          <w:sz w:val="24"/>
          <w:szCs w:val="24"/>
        </w:rPr>
        <w:t>, J. 1997.</w:t>
      </w:r>
      <w:proofErr w:type="gramEnd"/>
      <w:r>
        <w:rPr>
          <w:sz w:val="24"/>
          <w:szCs w:val="24"/>
        </w:rPr>
        <w:t xml:space="preserve"> Some further theoretical and empirical implications regarding the relationship between earnings, dividends and stock prices. </w:t>
      </w:r>
      <w:r w:rsidRPr="006D4B06">
        <w:rPr>
          <w:i/>
          <w:sz w:val="24"/>
          <w:szCs w:val="24"/>
        </w:rPr>
        <w:t>Journal of Banking and Finance</w:t>
      </w:r>
      <w:r>
        <w:rPr>
          <w:sz w:val="24"/>
          <w:szCs w:val="24"/>
        </w:rPr>
        <w:t>, 21(1): 17-35.</w:t>
      </w:r>
    </w:p>
    <w:p w:rsidR="00E53DEF" w:rsidRDefault="00E53DEF" w:rsidP="00D8299A">
      <w:pPr>
        <w:widowControl w:val="0"/>
        <w:autoSpaceDE w:val="0"/>
        <w:autoSpaceDN w:val="0"/>
        <w:adjustRightInd w:val="0"/>
        <w:jc w:val="both"/>
        <w:rPr>
          <w:sz w:val="24"/>
          <w:szCs w:val="24"/>
        </w:rPr>
      </w:pPr>
      <w:proofErr w:type="gramStart"/>
      <w:r>
        <w:rPr>
          <w:sz w:val="24"/>
          <w:szCs w:val="24"/>
        </w:rPr>
        <w:t>Dorsey-</w:t>
      </w:r>
      <w:proofErr w:type="spellStart"/>
      <w:r>
        <w:rPr>
          <w:sz w:val="24"/>
          <w:szCs w:val="24"/>
        </w:rPr>
        <w:t>Palmateer</w:t>
      </w:r>
      <w:proofErr w:type="spellEnd"/>
      <w:r>
        <w:rPr>
          <w:sz w:val="24"/>
          <w:szCs w:val="24"/>
        </w:rPr>
        <w:t>, R. &amp; Smith, G. 2007.</w:t>
      </w:r>
      <w:proofErr w:type="gramEnd"/>
      <w:r>
        <w:rPr>
          <w:sz w:val="24"/>
          <w:szCs w:val="24"/>
        </w:rPr>
        <w:t xml:space="preserve"> Shrunken interest rate forecasts are better forecasts. </w:t>
      </w:r>
      <w:proofErr w:type="gramStart"/>
      <w:r w:rsidRPr="00EC6591">
        <w:rPr>
          <w:i/>
          <w:sz w:val="24"/>
          <w:szCs w:val="24"/>
        </w:rPr>
        <w:t>Applied Financial Economics</w:t>
      </w:r>
      <w:r>
        <w:rPr>
          <w:sz w:val="24"/>
          <w:szCs w:val="24"/>
        </w:rPr>
        <w:t>, 17(</w:t>
      </w:r>
      <w:r w:rsidR="00D8299A">
        <w:rPr>
          <w:sz w:val="24"/>
          <w:szCs w:val="24"/>
        </w:rPr>
        <w:t>6): 425-430.</w:t>
      </w:r>
      <w:proofErr w:type="gramEnd"/>
    </w:p>
    <w:p w:rsidR="00F25FBA" w:rsidRPr="00DB620E" w:rsidRDefault="00F25FBA" w:rsidP="00D8299A">
      <w:pPr>
        <w:widowControl w:val="0"/>
        <w:autoSpaceDE w:val="0"/>
        <w:autoSpaceDN w:val="0"/>
        <w:adjustRightInd w:val="0"/>
        <w:jc w:val="both"/>
        <w:rPr>
          <w:sz w:val="24"/>
          <w:szCs w:val="24"/>
        </w:rPr>
      </w:pPr>
      <w:r w:rsidRPr="00DB620E">
        <w:rPr>
          <w:sz w:val="24"/>
          <w:szCs w:val="24"/>
        </w:rPr>
        <w:t xml:space="preserve">Dreman, D.N. 1998. </w:t>
      </w:r>
      <w:r w:rsidRPr="00DB620E">
        <w:rPr>
          <w:i/>
          <w:iCs/>
          <w:sz w:val="24"/>
          <w:szCs w:val="24"/>
        </w:rPr>
        <w:t>Contrarian Investment Strategies: The Next Generation</w:t>
      </w:r>
      <w:r w:rsidRPr="00DB620E">
        <w:rPr>
          <w:sz w:val="24"/>
          <w:szCs w:val="24"/>
        </w:rPr>
        <w:t>. New York: Simon &amp; Schuster.</w:t>
      </w:r>
    </w:p>
    <w:p w:rsidR="00EF2548" w:rsidRPr="00DB620E" w:rsidRDefault="00EF2548" w:rsidP="00D8299A">
      <w:pPr>
        <w:widowControl w:val="0"/>
        <w:autoSpaceDE w:val="0"/>
        <w:autoSpaceDN w:val="0"/>
        <w:adjustRightInd w:val="0"/>
        <w:jc w:val="both"/>
        <w:rPr>
          <w:sz w:val="24"/>
          <w:szCs w:val="24"/>
        </w:rPr>
      </w:pPr>
      <w:proofErr w:type="gramStart"/>
      <w:r w:rsidRPr="00DB620E">
        <w:rPr>
          <w:sz w:val="24"/>
          <w:szCs w:val="24"/>
        </w:rPr>
        <w:t>Fama, E.F. &amp; French, K.R. 1992.</w:t>
      </w:r>
      <w:proofErr w:type="gramEnd"/>
      <w:r w:rsidRPr="00DB620E">
        <w:rPr>
          <w:sz w:val="24"/>
          <w:szCs w:val="24"/>
        </w:rPr>
        <w:t xml:space="preserve"> </w:t>
      </w:r>
      <w:proofErr w:type="gramStart"/>
      <w:r w:rsidRPr="00DB620E">
        <w:rPr>
          <w:sz w:val="24"/>
          <w:szCs w:val="24"/>
        </w:rPr>
        <w:t>The Cross-Section of Expected Stock Returns.</w:t>
      </w:r>
      <w:proofErr w:type="gramEnd"/>
      <w:r w:rsidRPr="00DB620E">
        <w:rPr>
          <w:sz w:val="24"/>
          <w:szCs w:val="24"/>
        </w:rPr>
        <w:t xml:space="preserve"> </w:t>
      </w:r>
      <w:r w:rsidRPr="00DB620E">
        <w:rPr>
          <w:i/>
          <w:iCs/>
          <w:sz w:val="24"/>
          <w:szCs w:val="24"/>
        </w:rPr>
        <w:t>The Journal of Finance</w:t>
      </w:r>
      <w:r w:rsidRPr="00DB620E">
        <w:rPr>
          <w:sz w:val="24"/>
          <w:szCs w:val="24"/>
        </w:rPr>
        <w:t>, 47(2): 427-65.</w:t>
      </w:r>
    </w:p>
    <w:p w:rsidR="00EF2548" w:rsidRPr="00DB620E" w:rsidRDefault="00EF2548" w:rsidP="00D8299A">
      <w:pPr>
        <w:widowControl w:val="0"/>
        <w:autoSpaceDE w:val="0"/>
        <w:autoSpaceDN w:val="0"/>
        <w:adjustRightInd w:val="0"/>
        <w:jc w:val="both"/>
        <w:rPr>
          <w:sz w:val="24"/>
          <w:szCs w:val="24"/>
        </w:rPr>
      </w:pPr>
      <w:proofErr w:type="gramStart"/>
      <w:r w:rsidRPr="00DB620E">
        <w:rPr>
          <w:sz w:val="24"/>
          <w:szCs w:val="24"/>
        </w:rPr>
        <w:t>Fama, E.F. &amp; French, K.R. 1993.</w:t>
      </w:r>
      <w:proofErr w:type="gramEnd"/>
      <w:r w:rsidRPr="00DB620E">
        <w:rPr>
          <w:sz w:val="24"/>
          <w:szCs w:val="24"/>
        </w:rPr>
        <w:t xml:space="preserve"> </w:t>
      </w:r>
      <w:proofErr w:type="gramStart"/>
      <w:r w:rsidRPr="00DB620E">
        <w:rPr>
          <w:sz w:val="24"/>
          <w:szCs w:val="24"/>
        </w:rPr>
        <w:t>Common Risk Factors in the Returns on Stocks and Bonds.</w:t>
      </w:r>
      <w:proofErr w:type="gramEnd"/>
      <w:r w:rsidRPr="00DB620E">
        <w:rPr>
          <w:sz w:val="24"/>
          <w:szCs w:val="24"/>
        </w:rPr>
        <w:t xml:space="preserve"> </w:t>
      </w:r>
      <w:r w:rsidRPr="00DB620E">
        <w:rPr>
          <w:i/>
          <w:iCs/>
          <w:sz w:val="24"/>
          <w:szCs w:val="24"/>
        </w:rPr>
        <w:t>Journal of Financial Economics</w:t>
      </w:r>
      <w:r w:rsidRPr="00DB620E">
        <w:rPr>
          <w:sz w:val="24"/>
          <w:szCs w:val="24"/>
        </w:rPr>
        <w:t>, 33(1): 3-56.</w:t>
      </w:r>
    </w:p>
    <w:p w:rsidR="0055510B" w:rsidRPr="00DB620E" w:rsidRDefault="0055510B" w:rsidP="00D8299A">
      <w:pPr>
        <w:widowControl w:val="0"/>
        <w:autoSpaceDE w:val="0"/>
        <w:autoSpaceDN w:val="0"/>
        <w:adjustRightInd w:val="0"/>
        <w:jc w:val="both"/>
        <w:rPr>
          <w:sz w:val="24"/>
          <w:szCs w:val="24"/>
        </w:rPr>
      </w:pPr>
      <w:r w:rsidRPr="00DB620E">
        <w:rPr>
          <w:sz w:val="24"/>
          <w:szCs w:val="24"/>
        </w:rPr>
        <w:t xml:space="preserve">Fama, E.F. 1998. </w:t>
      </w:r>
      <w:proofErr w:type="gramStart"/>
      <w:r w:rsidRPr="00DB620E">
        <w:rPr>
          <w:sz w:val="24"/>
          <w:szCs w:val="24"/>
        </w:rPr>
        <w:t>Market Efficiency, Long-term Returns, and Behavioural Finance.</w:t>
      </w:r>
      <w:proofErr w:type="gramEnd"/>
      <w:r w:rsidRPr="00DB620E">
        <w:rPr>
          <w:sz w:val="24"/>
          <w:szCs w:val="24"/>
        </w:rPr>
        <w:t xml:space="preserve"> </w:t>
      </w:r>
      <w:r w:rsidRPr="00DB620E">
        <w:rPr>
          <w:i/>
          <w:iCs/>
          <w:sz w:val="24"/>
          <w:szCs w:val="24"/>
        </w:rPr>
        <w:t>Journal of Financial Economics</w:t>
      </w:r>
      <w:r w:rsidRPr="00DB620E">
        <w:rPr>
          <w:sz w:val="24"/>
          <w:szCs w:val="24"/>
        </w:rPr>
        <w:t>, 49(3): 283-306.</w:t>
      </w:r>
    </w:p>
    <w:p w:rsidR="00064842" w:rsidRDefault="00064842" w:rsidP="00D8299A">
      <w:pPr>
        <w:widowControl w:val="0"/>
        <w:autoSpaceDE w:val="0"/>
        <w:autoSpaceDN w:val="0"/>
        <w:adjustRightInd w:val="0"/>
        <w:jc w:val="both"/>
        <w:rPr>
          <w:sz w:val="24"/>
          <w:szCs w:val="24"/>
        </w:rPr>
      </w:pPr>
      <w:proofErr w:type="gramStart"/>
      <w:r>
        <w:rPr>
          <w:sz w:val="24"/>
          <w:szCs w:val="24"/>
        </w:rPr>
        <w:t>Fama, E.F. &amp; French, K.R. 2000.</w:t>
      </w:r>
      <w:proofErr w:type="gramEnd"/>
      <w:r>
        <w:rPr>
          <w:sz w:val="24"/>
          <w:szCs w:val="24"/>
        </w:rPr>
        <w:t xml:space="preserve"> </w:t>
      </w:r>
      <w:proofErr w:type="gramStart"/>
      <w:r>
        <w:rPr>
          <w:sz w:val="24"/>
          <w:szCs w:val="24"/>
        </w:rPr>
        <w:t>Forecasting Profitability and Earnings.</w:t>
      </w:r>
      <w:proofErr w:type="gramEnd"/>
      <w:r>
        <w:rPr>
          <w:sz w:val="24"/>
          <w:szCs w:val="24"/>
        </w:rPr>
        <w:t xml:space="preserve"> </w:t>
      </w:r>
      <w:r w:rsidRPr="00064842">
        <w:rPr>
          <w:i/>
          <w:sz w:val="24"/>
          <w:szCs w:val="24"/>
        </w:rPr>
        <w:t>Journal of Business</w:t>
      </w:r>
      <w:r>
        <w:rPr>
          <w:sz w:val="24"/>
          <w:szCs w:val="24"/>
        </w:rPr>
        <w:t>, 73(2): 161-175.</w:t>
      </w:r>
    </w:p>
    <w:p w:rsidR="00EF2548" w:rsidRPr="00DB620E" w:rsidRDefault="00EF2548" w:rsidP="00D8299A">
      <w:pPr>
        <w:widowControl w:val="0"/>
        <w:autoSpaceDE w:val="0"/>
        <w:autoSpaceDN w:val="0"/>
        <w:adjustRightInd w:val="0"/>
        <w:jc w:val="both"/>
        <w:rPr>
          <w:sz w:val="24"/>
          <w:szCs w:val="24"/>
        </w:rPr>
      </w:pPr>
      <w:proofErr w:type="gramStart"/>
      <w:r w:rsidRPr="00DB620E">
        <w:rPr>
          <w:sz w:val="24"/>
          <w:szCs w:val="24"/>
        </w:rPr>
        <w:t xml:space="preserve">Fuller, R.J., </w:t>
      </w:r>
      <w:proofErr w:type="spellStart"/>
      <w:r w:rsidRPr="00DB620E">
        <w:rPr>
          <w:sz w:val="24"/>
          <w:szCs w:val="24"/>
        </w:rPr>
        <w:t>Huberts</w:t>
      </w:r>
      <w:proofErr w:type="spellEnd"/>
      <w:r w:rsidRPr="00DB620E">
        <w:rPr>
          <w:sz w:val="24"/>
          <w:szCs w:val="24"/>
        </w:rPr>
        <w:t>, L.C. &amp; Levinson, M.J. 1993.</w:t>
      </w:r>
      <w:proofErr w:type="gramEnd"/>
      <w:r w:rsidRPr="00DB620E">
        <w:rPr>
          <w:sz w:val="24"/>
          <w:szCs w:val="24"/>
        </w:rPr>
        <w:t xml:space="preserve"> </w:t>
      </w:r>
      <w:proofErr w:type="gramStart"/>
      <w:r w:rsidRPr="00DB620E">
        <w:rPr>
          <w:sz w:val="24"/>
          <w:szCs w:val="24"/>
        </w:rPr>
        <w:t xml:space="preserve">Returns to E/P Strategies, </w:t>
      </w:r>
      <w:proofErr w:type="spellStart"/>
      <w:r w:rsidRPr="00DB620E">
        <w:rPr>
          <w:sz w:val="24"/>
          <w:szCs w:val="24"/>
        </w:rPr>
        <w:t>Higgeldy</w:t>
      </w:r>
      <w:proofErr w:type="spellEnd"/>
      <w:r w:rsidRPr="00DB620E">
        <w:rPr>
          <w:sz w:val="24"/>
          <w:szCs w:val="24"/>
        </w:rPr>
        <w:t xml:space="preserve"> </w:t>
      </w:r>
      <w:proofErr w:type="spellStart"/>
      <w:r w:rsidRPr="00DB620E">
        <w:rPr>
          <w:sz w:val="24"/>
          <w:szCs w:val="24"/>
        </w:rPr>
        <w:t>Piggeldy</w:t>
      </w:r>
      <w:proofErr w:type="spellEnd"/>
      <w:r w:rsidRPr="00DB620E">
        <w:rPr>
          <w:sz w:val="24"/>
          <w:szCs w:val="24"/>
        </w:rPr>
        <w:t xml:space="preserve"> Growth, Analysts' Forecast Errors, and Omitted Risk Factors.</w:t>
      </w:r>
      <w:proofErr w:type="gramEnd"/>
      <w:r w:rsidRPr="00DB620E">
        <w:rPr>
          <w:sz w:val="24"/>
          <w:szCs w:val="24"/>
        </w:rPr>
        <w:t xml:space="preserve"> </w:t>
      </w:r>
      <w:r w:rsidRPr="00DB620E">
        <w:rPr>
          <w:i/>
          <w:iCs/>
          <w:sz w:val="24"/>
          <w:szCs w:val="24"/>
        </w:rPr>
        <w:t>Journal of Portfolio Management</w:t>
      </w:r>
      <w:r w:rsidRPr="00DB620E">
        <w:rPr>
          <w:sz w:val="24"/>
          <w:szCs w:val="24"/>
        </w:rPr>
        <w:t>, 1993(</w:t>
      </w:r>
      <w:proofErr w:type="gramStart"/>
      <w:r w:rsidRPr="00DB620E">
        <w:rPr>
          <w:sz w:val="24"/>
          <w:szCs w:val="24"/>
        </w:rPr>
        <w:t>Winter</w:t>
      </w:r>
      <w:proofErr w:type="gramEnd"/>
      <w:r w:rsidRPr="00DB620E">
        <w:rPr>
          <w:sz w:val="24"/>
          <w:szCs w:val="24"/>
        </w:rPr>
        <w:t>): 13-24.</w:t>
      </w:r>
    </w:p>
    <w:p w:rsidR="0019028F" w:rsidRDefault="0019028F" w:rsidP="00D8299A">
      <w:pPr>
        <w:widowControl w:val="0"/>
        <w:autoSpaceDE w:val="0"/>
        <w:autoSpaceDN w:val="0"/>
        <w:adjustRightInd w:val="0"/>
        <w:jc w:val="both"/>
        <w:rPr>
          <w:sz w:val="24"/>
          <w:szCs w:val="24"/>
        </w:rPr>
      </w:pPr>
      <w:proofErr w:type="spellStart"/>
      <w:r>
        <w:rPr>
          <w:sz w:val="24"/>
          <w:szCs w:val="24"/>
        </w:rPr>
        <w:t>Kahneman</w:t>
      </w:r>
      <w:proofErr w:type="spellEnd"/>
      <w:r>
        <w:rPr>
          <w:sz w:val="24"/>
          <w:szCs w:val="24"/>
        </w:rPr>
        <w:t xml:space="preserve">, D. 2012. </w:t>
      </w:r>
      <w:proofErr w:type="gramStart"/>
      <w:r w:rsidRPr="0019028F">
        <w:rPr>
          <w:i/>
          <w:sz w:val="24"/>
          <w:szCs w:val="24"/>
        </w:rPr>
        <w:t>Thinking, Fast and Slow</w:t>
      </w:r>
      <w:r>
        <w:rPr>
          <w:sz w:val="24"/>
          <w:szCs w:val="24"/>
        </w:rPr>
        <w:t>.</w:t>
      </w:r>
      <w:proofErr w:type="gramEnd"/>
      <w:r>
        <w:rPr>
          <w:sz w:val="24"/>
          <w:szCs w:val="24"/>
        </w:rPr>
        <w:t xml:space="preserve"> London: Penguin Books.</w:t>
      </w:r>
    </w:p>
    <w:p w:rsidR="00EC6591" w:rsidRDefault="00EC6591" w:rsidP="00D8299A">
      <w:pPr>
        <w:widowControl w:val="0"/>
        <w:autoSpaceDE w:val="0"/>
        <w:autoSpaceDN w:val="0"/>
        <w:adjustRightInd w:val="0"/>
        <w:jc w:val="both"/>
        <w:rPr>
          <w:sz w:val="24"/>
          <w:szCs w:val="24"/>
        </w:rPr>
      </w:pPr>
      <w:proofErr w:type="spellStart"/>
      <w:proofErr w:type="gramStart"/>
      <w:r w:rsidRPr="00EC6591">
        <w:rPr>
          <w:sz w:val="24"/>
          <w:szCs w:val="24"/>
        </w:rPr>
        <w:t>Keil</w:t>
      </w:r>
      <w:proofErr w:type="spellEnd"/>
      <w:r w:rsidRPr="00EC6591">
        <w:rPr>
          <w:sz w:val="24"/>
          <w:szCs w:val="24"/>
        </w:rPr>
        <w:t>, M., Smith, G. &amp; Smith, M.H. 2004.</w:t>
      </w:r>
      <w:proofErr w:type="gramEnd"/>
      <w:r w:rsidRPr="00EC6591">
        <w:rPr>
          <w:sz w:val="24"/>
          <w:szCs w:val="24"/>
        </w:rPr>
        <w:t xml:space="preserve"> Shrunken Earnings Predictions are Better Predictions. </w:t>
      </w:r>
      <w:r w:rsidRPr="00EC6591">
        <w:rPr>
          <w:i/>
          <w:sz w:val="24"/>
          <w:szCs w:val="24"/>
        </w:rPr>
        <w:t>Applied Financial Economics</w:t>
      </w:r>
      <w:r w:rsidRPr="00EC6591">
        <w:rPr>
          <w:sz w:val="24"/>
          <w:szCs w:val="24"/>
        </w:rPr>
        <w:t>, 14(13): 937-43.</w:t>
      </w:r>
    </w:p>
    <w:p w:rsidR="00DD3773" w:rsidRDefault="00DD3773" w:rsidP="00D8299A">
      <w:pPr>
        <w:widowControl w:val="0"/>
        <w:autoSpaceDE w:val="0"/>
        <w:autoSpaceDN w:val="0"/>
        <w:adjustRightInd w:val="0"/>
        <w:jc w:val="both"/>
        <w:rPr>
          <w:sz w:val="24"/>
          <w:szCs w:val="24"/>
        </w:rPr>
      </w:pPr>
      <w:proofErr w:type="gramStart"/>
      <w:r w:rsidRPr="00DD3773">
        <w:rPr>
          <w:sz w:val="24"/>
          <w:szCs w:val="24"/>
        </w:rPr>
        <w:t xml:space="preserve">Lakonishok, J., </w:t>
      </w:r>
      <w:proofErr w:type="spellStart"/>
      <w:r w:rsidRPr="00DD3773">
        <w:rPr>
          <w:sz w:val="24"/>
          <w:szCs w:val="24"/>
        </w:rPr>
        <w:t>Schleifer</w:t>
      </w:r>
      <w:proofErr w:type="spellEnd"/>
      <w:r w:rsidRPr="00DD3773">
        <w:rPr>
          <w:sz w:val="24"/>
          <w:szCs w:val="24"/>
        </w:rPr>
        <w:t xml:space="preserve">, A. &amp; </w:t>
      </w:r>
      <w:proofErr w:type="spellStart"/>
      <w:r w:rsidRPr="00DD3773">
        <w:rPr>
          <w:sz w:val="24"/>
          <w:szCs w:val="24"/>
        </w:rPr>
        <w:t>Vishny</w:t>
      </w:r>
      <w:proofErr w:type="spellEnd"/>
      <w:r w:rsidRPr="00DD3773">
        <w:rPr>
          <w:sz w:val="24"/>
          <w:szCs w:val="24"/>
        </w:rPr>
        <w:t>, R. 1994.</w:t>
      </w:r>
      <w:proofErr w:type="gramEnd"/>
      <w:r w:rsidRPr="00DD3773">
        <w:rPr>
          <w:sz w:val="24"/>
          <w:szCs w:val="24"/>
        </w:rPr>
        <w:t xml:space="preserve"> </w:t>
      </w:r>
      <w:proofErr w:type="gramStart"/>
      <w:r w:rsidRPr="00DD3773">
        <w:rPr>
          <w:sz w:val="24"/>
          <w:szCs w:val="24"/>
        </w:rPr>
        <w:t>Contrarian Investment, Extrapolation, and Risk.</w:t>
      </w:r>
      <w:proofErr w:type="gramEnd"/>
      <w:r w:rsidRPr="00DD3773">
        <w:rPr>
          <w:sz w:val="24"/>
          <w:szCs w:val="24"/>
        </w:rPr>
        <w:t xml:space="preserve"> </w:t>
      </w:r>
      <w:r w:rsidRPr="00DD3773">
        <w:rPr>
          <w:i/>
          <w:sz w:val="24"/>
          <w:szCs w:val="24"/>
        </w:rPr>
        <w:t>The Journal of Finance</w:t>
      </w:r>
      <w:r w:rsidRPr="00DD3773">
        <w:rPr>
          <w:sz w:val="24"/>
          <w:szCs w:val="24"/>
        </w:rPr>
        <w:t>, 49(5): 1541-78.</w:t>
      </w:r>
    </w:p>
    <w:p w:rsidR="007A7D08" w:rsidRDefault="007A7D08" w:rsidP="00D8299A">
      <w:pPr>
        <w:widowControl w:val="0"/>
        <w:autoSpaceDE w:val="0"/>
        <w:autoSpaceDN w:val="0"/>
        <w:adjustRightInd w:val="0"/>
        <w:jc w:val="both"/>
        <w:rPr>
          <w:sz w:val="24"/>
          <w:szCs w:val="24"/>
        </w:rPr>
      </w:pPr>
      <w:r>
        <w:rPr>
          <w:sz w:val="24"/>
          <w:szCs w:val="24"/>
        </w:rPr>
        <w:lastRenderedPageBreak/>
        <w:t xml:space="preserve">Li, S. 2003. </w:t>
      </w:r>
      <w:proofErr w:type="gramStart"/>
      <w:r>
        <w:rPr>
          <w:sz w:val="24"/>
          <w:szCs w:val="24"/>
        </w:rPr>
        <w:t>A valuation model for firms with stochastic earnings.</w:t>
      </w:r>
      <w:proofErr w:type="gramEnd"/>
      <w:r>
        <w:rPr>
          <w:sz w:val="24"/>
          <w:szCs w:val="24"/>
        </w:rPr>
        <w:t xml:space="preserve"> </w:t>
      </w:r>
      <w:proofErr w:type="gramStart"/>
      <w:r w:rsidR="00E009CE" w:rsidRPr="00E009CE">
        <w:rPr>
          <w:i/>
          <w:sz w:val="24"/>
          <w:szCs w:val="24"/>
        </w:rPr>
        <w:t>Applied Mathematical Finance</w:t>
      </w:r>
      <w:r w:rsidR="00E009CE">
        <w:rPr>
          <w:sz w:val="24"/>
          <w:szCs w:val="24"/>
        </w:rPr>
        <w:t>, 10: 229-243.</w:t>
      </w:r>
      <w:proofErr w:type="gramEnd"/>
    </w:p>
    <w:p w:rsidR="009A15A4" w:rsidRDefault="009A15A4" w:rsidP="00D8299A">
      <w:pPr>
        <w:widowControl w:val="0"/>
        <w:autoSpaceDE w:val="0"/>
        <w:autoSpaceDN w:val="0"/>
        <w:adjustRightInd w:val="0"/>
        <w:jc w:val="both"/>
        <w:rPr>
          <w:sz w:val="24"/>
          <w:szCs w:val="24"/>
        </w:rPr>
      </w:pPr>
      <w:proofErr w:type="gramStart"/>
      <w:r w:rsidRPr="009A15A4">
        <w:rPr>
          <w:sz w:val="24"/>
          <w:szCs w:val="24"/>
        </w:rPr>
        <w:t>Little, I.M.D. 1962.</w:t>
      </w:r>
      <w:proofErr w:type="gramEnd"/>
      <w:r w:rsidRPr="009A15A4">
        <w:rPr>
          <w:sz w:val="24"/>
          <w:szCs w:val="24"/>
        </w:rPr>
        <w:t xml:space="preserve"> </w:t>
      </w:r>
      <w:proofErr w:type="gramStart"/>
      <w:r w:rsidRPr="009A15A4">
        <w:rPr>
          <w:sz w:val="24"/>
          <w:szCs w:val="24"/>
        </w:rPr>
        <w:t xml:space="preserve">Higgledy </w:t>
      </w:r>
      <w:proofErr w:type="spellStart"/>
      <w:r w:rsidRPr="009A15A4">
        <w:rPr>
          <w:sz w:val="24"/>
          <w:szCs w:val="24"/>
        </w:rPr>
        <w:t>Piggledy</w:t>
      </w:r>
      <w:proofErr w:type="spellEnd"/>
      <w:r w:rsidRPr="009A15A4">
        <w:rPr>
          <w:sz w:val="24"/>
          <w:szCs w:val="24"/>
        </w:rPr>
        <w:t xml:space="preserve"> Growth.</w:t>
      </w:r>
      <w:proofErr w:type="gramEnd"/>
      <w:r w:rsidRPr="009A15A4">
        <w:rPr>
          <w:sz w:val="24"/>
          <w:szCs w:val="24"/>
        </w:rPr>
        <w:t xml:space="preserve"> </w:t>
      </w:r>
      <w:r w:rsidRPr="009A15A4">
        <w:rPr>
          <w:i/>
          <w:sz w:val="24"/>
          <w:szCs w:val="24"/>
        </w:rPr>
        <w:t>Journal of the Oxford University Institute of Statistics</w:t>
      </w:r>
      <w:r w:rsidRPr="009A15A4">
        <w:rPr>
          <w:sz w:val="24"/>
          <w:szCs w:val="24"/>
        </w:rPr>
        <w:t>, 24(4): 387-412.</w:t>
      </w:r>
    </w:p>
    <w:p w:rsidR="00C37776" w:rsidRDefault="00C37776" w:rsidP="00D8299A">
      <w:pPr>
        <w:widowControl w:val="0"/>
        <w:autoSpaceDE w:val="0"/>
        <w:autoSpaceDN w:val="0"/>
        <w:adjustRightInd w:val="0"/>
        <w:jc w:val="both"/>
        <w:rPr>
          <w:sz w:val="24"/>
          <w:szCs w:val="24"/>
        </w:rPr>
      </w:pPr>
      <w:proofErr w:type="gramStart"/>
      <w:r>
        <w:rPr>
          <w:sz w:val="24"/>
          <w:szCs w:val="24"/>
        </w:rPr>
        <w:t>Mandelbrot, B.</w:t>
      </w:r>
      <w:r w:rsidR="00613D72">
        <w:rPr>
          <w:sz w:val="24"/>
          <w:szCs w:val="24"/>
        </w:rPr>
        <w:t>B.</w:t>
      </w:r>
      <w:r>
        <w:rPr>
          <w:sz w:val="24"/>
          <w:szCs w:val="24"/>
        </w:rPr>
        <w:t xml:space="preserve"> &amp; Hudson, R.</w:t>
      </w:r>
      <w:r w:rsidR="00613D72">
        <w:rPr>
          <w:sz w:val="24"/>
          <w:szCs w:val="24"/>
        </w:rPr>
        <w:t>L.</w:t>
      </w:r>
      <w:r>
        <w:rPr>
          <w:sz w:val="24"/>
          <w:szCs w:val="24"/>
        </w:rPr>
        <w:t xml:space="preserve"> 2008</w:t>
      </w:r>
      <w:r w:rsidR="00613D72">
        <w:rPr>
          <w:sz w:val="24"/>
          <w:szCs w:val="24"/>
        </w:rPr>
        <w:t>.</w:t>
      </w:r>
      <w:proofErr w:type="gramEnd"/>
      <w:r>
        <w:rPr>
          <w:sz w:val="24"/>
          <w:szCs w:val="24"/>
        </w:rPr>
        <w:t xml:space="preserve"> </w:t>
      </w:r>
      <w:r w:rsidRPr="00613D72">
        <w:rPr>
          <w:i/>
          <w:sz w:val="24"/>
          <w:szCs w:val="24"/>
        </w:rPr>
        <w:t>The (</w:t>
      </w:r>
      <w:proofErr w:type="spellStart"/>
      <w:r w:rsidRPr="00613D72">
        <w:rPr>
          <w:i/>
          <w:sz w:val="24"/>
          <w:szCs w:val="24"/>
        </w:rPr>
        <w:t>Mis</w:t>
      </w:r>
      <w:proofErr w:type="spellEnd"/>
      <w:proofErr w:type="gramStart"/>
      <w:r w:rsidRPr="00613D72">
        <w:rPr>
          <w:i/>
          <w:sz w:val="24"/>
          <w:szCs w:val="24"/>
        </w:rPr>
        <w:t>)Behaviour</w:t>
      </w:r>
      <w:proofErr w:type="gramEnd"/>
      <w:r w:rsidRPr="00613D72">
        <w:rPr>
          <w:i/>
          <w:sz w:val="24"/>
          <w:szCs w:val="24"/>
        </w:rPr>
        <w:t xml:space="preserve"> of Markets: A Fractal View of Risk, Ruin and Reward</w:t>
      </w:r>
      <w:r w:rsidR="00613D72">
        <w:rPr>
          <w:sz w:val="24"/>
          <w:szCs w:val="24"/>
        </w:rPr>
        <w:t>.</w:t>
      </w:r>
      <w:r>
        <w:rPr>
          <w:sz w:val="24"/>
          <w:szCs w:val="24"/>
        </w:rPr>
        <w:t xml:space="preserve"> Profile Books</w:t>
      </w:r>
    </w:p>
    <w:p w:rsidR="009557C6" w:rsidRDefault="009557C6" w:rsidP="00D8299A">
      <w:pPr>
        <w:widowControl w:val="0"/>
        <w:autoSpaceDE w:val="0"/>
        <w:autoSpaceDN w:val="0"/>
        <w:adjustRightInd w:val="0"/>
        <w:jc w:val="both"/>
        <w:rPr>
          <w:sz w:val="24"/>
          <w:szCs w:val="24"/>
        </w:rPr>
      </w:pPr>
      <w:proofErr w:type="spellStart"/>
      <w:proofErr w:type="gramStart"/>
      <w:r>
        <w:rPr>
          <w:sz w:val="24"/>
          <w:szCs w:val="24"/>
        </w:rPr>
        <w:t>Menn</w:t>
      </w:r>
      <w:proofErr w:type="spellEnd"/>
      <w:r>
        <w:rPr>
          <w:sz w:val="24"/>
          <w:szCs w:val="24"/>
        </w:rPr>
        <w:t xml:space="preserve">, P., </w:t>
      </w:r>
      <w:proofErr w:type="spellStart"/>
      <w:r>
        <w:rPr>
          <w:sz w:val="24"/>
          <w:szCs w:val="24"/>
        </w:rPr>
        <w:t>Leidl</w:t>
      </w:r>
      <w:proofErr w:type="spellEnd"/>
      <w:r>
        <w:rPr>
          <w:sz w:val="24"/>
          <w:szCs w:val="24"/>
        </w:rPr>
        <w:t xml:space="preserve">, R. &amp; </w:t>
      </w:r>
      <w:proofErr w:type="spellStart"/>
      <w:r>
        <w:rPr>
          <w:sz w:val="24"/>
          <w:szCs w:val="24"/>
        </w:rPr>
        <w:t>Holle</w:t>
      </w:r>
      <w:proofErr w:type="spellEnd"/>
      <w:r>
        <w:rPr>
          <w:sz w:val="24"/>
          <w:szCs w:val="24"/>
        </w:rPr>
        <w:t>, R. 2012.</w:t>
      </w:r>
      <w:proofErr w:type="gramEnd"/>
      <w:r>
        <w:rPr>
          <w:sz w:val="24"/>
          <w:szCs w:val="24"/>
        </w:rPr>
        <w:t xml:space="preserve"> </w:t>
      </w:r>
      <w:proofErr w:type="gramStart"/>
      <w:r>
        <w:rPr>
          <w:sz w:val="24"/>
          <w:szCs w:val="24"/>
        </w:rPr>
        <w:t>A Lifetime Markov Model for the Economic Evaluation of Chronic Obstructive Pulmonary Disease.</w:t>
      </w:r>
      <w:proofErr w:type="gramEnd"/>
      <w:r>
        <w:rPr>
          <w:sz w:val="24"/>
          <w:szCs w:val="24"/>
        </w:rPr>
        <w:t xml:space="preserve"> </w:t>
      </w:r>
      <w:proofErr w:type="spellStart"/>
      <w:r w:rsidRPr="009557C6">
        <w:rPr>
          <w:i/>
          <w:sz w:val="24"/>
          <w:szCs w:val="24"/>
        </w:rPr>
        <w:t>Pharmacoeconomics</w:t>
      </w:r>
      <w:proofErr w:type="spellEnd"/>
      <w:r>
        <w:rPr>
          <w:sz w:val="24"/>
          <w:szCs w:val="24"/>
        </w:rPr>
        <w:t>, 30(9): 825-840.</w:t>
      </w:r>
    </w:p>
    <w:p w:rsidR="009D30CF" w:rsidRPr="00E53DEF" w:rsidRDefault="009D30CF" w:rsidP="009D30CF">
      <w:pPr>
        <w:widowControl w:val="0"/>
        <w:autoSpaceDE w:val="0"/>
        <w:autoSpaceDN w:val="0"/>
        <w:adjustRightInd w:val="0"/>
        <w:jc w:val="both"/>
        <w:rPr>
          <w:sz w:val="24"/>
          <w:szCs w:val="24"/>
        </w:rPr>
      </w:pPr>
      <w:r>
        <w:rPr>
          <w:sz w:val="24"/>
          <w:szCs w:val="24"/>
        </w:rPr>
        <w:t xml:space="preserve">Merton, R. 1974. On the Pricing of Corporate Debt: The Risk Structure of </w:t>
      </w:r>
      <w:proofErr w:type="spellStart"/>
      <w:r>
        <w:rPr>
          <w:sz w:val="24"/>
          <w:szCs w:val="24"/>
        </w:rPr>
        <w:t>Intyerest</w:t>
      </w:r>
      <w:proofErr w:type="spellEnd"/>
      <w:r>
        <w:rPr>
          <w:sz w:val="24"/>
          <w:szCs w:val="24"/>
        </w:rPr>
        <w:t xml:space="preserve"> Rates. </w:t>
      </w:r>
      <w:r w:rsidRPr="00252912">
        <w:rPr>
          <w:i/>
          <w:sz w:val="24"/>
          <w:szCs w:val="24"/>
        </w:rPr>
        <w:t>The Journal of Finance</w:t>
      </w:r>
      <w:r w:rsidRPr="00252912">
        <w:rPr>
          <w:sz w:val="24"/>
          <w:szCs w:val="24"/>
        </w:rPr>
        <w:t xml:space="preserve">, </w:t>
      </w:r>
      <w:r>
        <w:rPr>
          <w:sz w:val="24"/>
          <w:szCs w:val="24"/>
        </w:rPr>
        <w:t>29</w:t>
      </w:r>
      <w:r w:rsidRPr="00252912">
        <w:rPr>
          <w:sz w:val="24"/>
          <w:szCs w:val="24"/>
        </w:rPr>
        <w:t>(</w:t>
      </w:r>
      <w:r>
        <w:rPr>
          <w:sz w:val="24"/>
          <w:szCs w:val="24"/>
        </w:rPr>
        <w:t>2</w:t>
      </w:r>
      <w:r w:rsidRPr="00252912">
        <w:rPr>
          <w:sz w:val="24"/>
          <w:szCs w:val="24"/>
        </w:rPr>
        <w:t xml:space="preserve">): </w:t>
      </w:r>
      <w:r>
        <w:rPr>
          <w:sz w:val="24"/>
          <w:szCs w:val="24"/>
        </w:rPr>
        <w:t>449-470</w:t>
      </w:r>
      <w:r w:rsidRPr="00252912">
        <w:rPr>
          <w:sz w:val="24"/>
          <w:szCs w:val="24"/>
        </w:rPr>
        <w:t>.</w:t>
      </w:r>
    </w:p>
    <w:p w:rsidR="0055510B" w:rsidRPr="00DB620E" w:rsidRDefault="0055510B" w:rsidP="00D8299A">
      <w:pPr>
        <w:widowControl w:val="0"/>
        <w:autoSpaceDE w:val="0"/>
        <w:autoSpaceDN w:val="0"/>
        <w:adjustRightInd w:val="0"/>
        <w:jc w:val="both"/>
        <w:rPr>
          <w:sz w:val="24"/>
          <w:szCs w:val="24"/>
        </w:rPr>
      </w:pPr>
      <w:r w:rsidRPr="00DB620E">
        <w:rPr>
          <w:sz w:val="24"/>
          <w:szCs w:val="24"/>
        </w:rPr>
        <w:t xml:space="preserve">Nicholson, S.F. 1960. </w:t>
      </w:r>
      <w:proofErr w:type="gramStart"/>
      <w:r w:rsidRPr="00DB620E">
        <w:rPr>
          <w:sz w:val="24"/>
          <w:szCs w:val="24"/>
        </w:rPr>
        <w:t>Price-Earnings Ratios.</w:t>
      </w:r>
      <w:proofErr w:type="gramEnd"/>
      <w:r w:rsidRPr="00DB620E">
        <w:rPr>
          <w:sz w:val="24"/>
          <w:szCs w:val="24"/>
        </w:rPr>
        <w:t xml:space="preserve"> </w:t>
      </w:r>
      <w:r w:rsidRPr="00DB620E">
        <w:rPr>
          <w:i/>
          <w:iCs/>
          <w:sz w:val="24"/>
          <w:szCs w:val="24"/>
        </w:rPr>
        <w:t>Financial Analysts Journal</w:t>
      </w:r>
      <w:r w:rsidRPr="00DB620E">
        <w:rPr>
          <w:sz w:val="24"/>
          <w:szCs w:val="24"/>
        </w:rPr>
        <w:t>, 16(4): 43-45.</w:t>
      </w:r>
    </w:p>
    <w:p w:rsidR="00EC5AD8" w:rsidRDefault="0055510B" w:rsidP="00D8299A">
      <w:pPr>
        <w:widowControl w:val="0"/>
        <w:autoSpaceDE w:val="0"/>
        <w:autoSpaceDN w:val="0"/>
        <w:adjustRightInd w:val="0"/>
        <w:jc w:val="both"/>
        <w:rPr>
          <w:sz w:val="24"/>
          <w:szCs w:val="24"/>
        </w:rPr>
      </w:pPr>
      <w:r w:rsidRPr="00DB620E">
        <w:rPr>
          <w:sz w:val="24"/>
          <w:szCs w:val="24"/>
        </w:rPr>
        <w:t xml:space="preserve">Nicholson, S.F. 1968. </w:t>
      </w:r>
      <w:proofErr w:type="gramStart"/>
      <w:r w:rsidRPr="00DB620E">
        <w:rPr>
          <w:sz w:val="24"/>
          <w:szCs w:val="24"/>
        </w:rPr>
        <w:t>Price-Earnings Ratios in relation to Investment Results.</w:t>
      </w:r>
      <w:proofErr w:type="gramEnd"/>
      <w:r w:rsidRPr="00DB620E">
        <w:rPr>
          <w:sz w:val="24"/>
          <w:szCs w:val="24"/>
        </w:rPr>
        <w:t xml:space="preserve"> </w:t>
      </w:r>
      <w:r w:rsidRPr="00DB620E">
        <w:rPr>
          <w:i/>
          <w:iCs/>
          <w:sz w:val="24"/>
          <w:szCs w:val="24"/>
        </w:rPr>
        <w:t>Financial Analysts Journal</w:t>
      </w:r>
      <w:r w:rsidRPr="00DB620E">
        <w:rPr>
          <w:sz w:val="24"/>
          <w:szCs w:val="24"/>
        </w:rPr>
        <w:t>, 24(1): 105-09.</w:t>
      </w:r>
    </w:p>
    <w:p w:rsidR="00310D99" w:rsidRDefault="00310D99" w:rsidP="00EC6591">
      <w:pPr>
        <w:widowControl w:val="0"/>
        <w:autoSpaceDE w:val="0"/>
        <w:autoSpaceDN w:val="0"/>
        <w:adjustRightInd w:val="0"/>
        <w:jc w:val="both"/>
        <w:rPr>
          <w:sz w:val="24"/>
          <w:szCs w:val="24"/>
        </w:rPr>
      </w:pPr>
      <w:r w:rsidRPr="00310D99">
        <w:rPr>
          <w:sz w:val="24"/>
          <w:szCs w:val="24"/>
        </w:rPr>
        <w:t xml:space="preserve">Samuelson, P.A. (1965), ‘Rational Theory of Warrant Pricing’, </w:t>
      </w:r>
      <w:r w:rsidRPr="00310D99">
        <w:rPr>
          <w:i/>
          <w:sz w:val="24"/>
          <w:szCs w:val="24"/>
        </w:rPr>
        <w:t>Industrial Management Review</w:t>
      </w:r>
      <w:r w:rsidRPr="00310D99">
        <w:rPr>
          <w:sz w:val="24"/>
          <w:szCs w:val="24"/>
        </w:rPr>
        <w:t>, 6(2)</w:t>
      </w:r>
      <w:r>
        <w:rPr>
          <w:sz w:val="24"/>
          <w:szCs w:val="24"/>
        </w:rPr>
        <w:t xml:space="preserve">: </w:t>
      </w:r>
      <w:r w:rsidRPr="00310D99">
        <w:rPr>
          <w:sz w:val="24"/>
          <w:szCs w:val="24"/>
        </w:rPr>
        <w:t>13-31</w:t>
      </w:r>
      <w:r>
        <w:rPr>
          <w:sz w:val="24"/>
          <w:szCs w:val="24"/>
        </w:rPr>
        <w:t>.</w:t>
      </w:r>
    </w:p>
    <w:p w:rsidR="00560D3F" w:rsidRDefault="00560D3F" w:rsidP="00EC6591">
      <w:pPr>
        <w:widowControl w:val="0"/>
        <w:autoSpaceDE w:val="0"/>
        <w:autoSpaceDN w:val="0"/>
        <w:adjustRightInd w:val="0"/>
        <w:jc w:val="both"/>
        <w:rPr>
          <w:sz w:val="24"/>
          <w:szCs w:val="24"/>
        </w:rPr>
      </w:pPr>
      <w:proofErr w:type="gramStart"/>
      <w:r>
        <w:rPr>
          <w:sz w:val="24"/>
          <w:szCs w:val="24"/>
        </w:rPr>
        <w:t xml:space="preserve">Smith, C.L. &amp; </w:t>
      </w:r>
      <w:proofErr w:type="spellStart"/>
      <w:r>
        <w:rPr>
          <w:sz w:val="24"/>
          <w:szCs w:val="24"/>
        </w:rPr>
        <w:t>Borgonovo</w:t>
      </w:r>
      <w:proofErr w:type="spellEnd"/>
      <w:r>
        <w:rPr>
          <w:sz w:val="24"/>
          <w:szCs w:val="24"/>
        </w:rPr>
        <w:t xml:space="preserve">, E. </w:t>
      </w:r>
      <w:r w:rsidR="009557C6">
        <w:rPr>
          <w:sz w:val="24"/>
          <w:szCs w:val="24"/>
        </w:rPr>
        <w:t>2007.</w:t>
      </w:r>
      <w:proofErr w:type="gramEnd"/>
      <w:r w:rsidR="009557C6">
        <w:rPr>
          <w:sz w:val="24"/>
          <w:szCs w:val="24"/>
        </w:rPr>
        <w:t xml:space="preserve"> </w:t>
      </w:r>
      <w:proofErr w:type="gramStart"/>
      <w:r w:rsidR="009557C6">
        <w:rPr>
          <w:sz w:val="24"/>
          <w:szCs w:val="24"/>
        </w:rPr>
        <w:t>Decision Making During Nuclear Power Plant Incidents - A New Approach to the Evaluation of Precursor Events.</w:t>
      </w:r>
      <w:proofErr w:type="gramEnd"/>
      <w:r w:rsidR="009557C6">
        <w:rPr>
          <w:sz w:val="24"/>
          <w:szCs w:val="24"/>
        </w:rPr>
        <w:t xml:space="preserve"> </w:t>
      </w:r>
      <w:r w:rsidR="009557C6" w:rsidRPr="009557C6">
        <w:rPr>
          <w:i/>
          <w:sz w:val="24"/>
          <w:szCs w:val="24"/>
        </w:rPr>
        <w:t>Risk Analysis</w:t>
      </w:r>
      <w:r w:rsidR="009557C6">
        <w:rPr>
          <w:sz w:val="24"/>
          <w:szCs w:val="24"/>
        </w:rPr>
        <w:t>, 27(4): 1027-1042.</w:t>
      </w:r>
    </w:p>
    <w:p w:rsidR="00E53DEF" w:rsidRDefault="00EC6591" w:rsidP="00EC6591">
      <w:pPr>
        <w:widowControl w:val="0"/>
        <w:autoSpaceDE w:val="0"/>
        <w:autoSpaceDN w:val="0"/>
        <w:adjustRightInd w:val="0"/>
        <w:jc w:val="both"/>
        <w:rPr>
          <w:sz w:val="24"/>
          <w:szCs w:val="24"/>
        </w:rPr>
      </w:pPr>
      <w:proofErr w:type="spellStart"/>
      <w:proofErr w:type="gramStart"/>
      <w:r w:rsidRPr="00EC6591">
        <w:rPr>
          <w:sz w:val="24"/>
          <w:szCs w:val="24"/>
        </w:rPr>
        <w:t>Tversky</w:t>
      </w:r>
      <w:proofErr w:type="spellEnd"/>
      <w:r w:rsidRPr="00EC6591">
        <w:rPr>
          <w:sz w:val="24"/>
          <w:szCs w:val="24"/>
        </w:rPr>
        <w:t xml:space="preserve">, A. &amp; </w:t>
      </w:r>
      <w:proofErr w:type="spellStart"/>
      <w:r w:rsidRPr="00EC6591">
        <w:rPr>
          <w:sz w:val="24"/>
          <w:szCs w:val="24"/>
        </w:rPr>
        <w:t>Kahneman</w:t>
      </w:r>
      <w:proofErr w:type="spellEnd"/>
      <w:r w:rsidRPr="00EC6591">
        <w:rPr>
          <w:sz w:val="24"/>
          <w:szCs w:val="24"/>
        </w:rPr>
        <w:t>, D. 1974.</w:t>
      </w:r>
      <w:proofErr w:type="gramEnd"/>
      <w:r w:rsidRPr="00EC6591">
        <w:rPr>
          <w:sz w:val="24"/>
          <w:szCs w:val="24"/>
        </w:rPr>
        <w:t xml:space="preserve"> Judgement under Uncertainty: Heuristics and Biases. </w:t>
      </w:r>
      <w:r w:rsidRPr="00EC6591">
        <w:rPr>
          <w:i/>
          <w:sz w:val="24"/>
          <w:szCs w:val="24"/>
        </w:rPr>
        <w:t>Science</w:t>
      </w:r>
      <w:r w:rsidRPr="00EC6591">
        <w:rPr>
          <w:sz w:val="24"/>
          <w:szCs w:val="24"/>
        </w:rPr>
        <w:t>, 185: 1124-31.</w:t>
      </w:r>
    </w:p>
    <w:p w:rsidR="00560D3F" w:rsidRDefault="00560D3F" w:rsidP="00EC6591">
      <w:pPr>
        <w:widowControl w:val="0"/>
        <w:autoSpaceDE w:val="0"/>
        <w:autoSpaceDN w:val="0"/>
        <w:adjustRightInd w:val="0"/>
        <w:jc w:val="both"/>
        <w:rPr>
          <w:sz w:val="24"/>
          <w:szCs w:val="24"/>
        </w:rPr>
      </w:pPr>
      <w:proofErr w:type="gramStart"/>
      <w:r>
        <w:rPr>
          <w:sz w:val="24"/>
          <w:szCs w:val="24"/>
        </w:rPr>
        <w:t>von</w:t>
      </w:r>
      <w:proofErr w:type="gramEnd"/>
      <w:r>
        <w:rPr>
          <w:sz w:val="24"/>
          <w:szCs w:val="24"/>
        </w:rPr>
        <w:t xml:space="preserve"> </w:t>
      </w:r>
      <w:proofErr w:type="spellStart"/>
      <w:r>
        <w:rPr>
          <w:sz w:val="24"/>
          <w:szCs w:val="24"/>
        </w:rPr>
        <w:t>Winterfeldt</w:t>
      </w:r>
      <w:proofErr w:type="spellEnd"/>
      <w:r>
        <w:rPr>
          <w:sz w:val="24"/>
          <w:szCs w:val="24"/>
        </w:rPr>
        <w:t xml:space="preserve">, D. &amp; O’Sullivan, T.M. 2006. Should We Protect Commercial Airplanes Against Surface-to-Air Missile Attack by Terrorists? </w:t>
      </w:r>
      <w:r w:rsidRPr="00560D3F">
        <w:rPr>
          <w:i/>
          <w:sz w:val="24"/>
          <w:szCs w:val="24"/>
        </w:rPr>
        <w:t>Decision Analysis</w:t>
      </w:r>
      <w:r>
        <w:rPr>
          <w:sz w:val="24"/>
          <w:szCs w:val="24"/>
        </w:rPr>
        <w:t>, 3(2): 63-75.</w:t>
      </w:r>
    </w:p>
    <w:p w:rsidR="00252912" w:rsidRPr="00E53DEF" w:rsidRDefault="00252912" w:rsidP="00EC6591">
      <w:pPr>
        <w:widowControl w:val="0"/>
        <w:autoSpaceDE w:val="0"/>
        <w:autoSpaceDN w:val="0"/>
        <w:adjustRightInd w:val="0"/>
        <w:jc w:val="both"/>
        <w:rPr>
          <w:sz w:val="24"/>
          <w:szCs w:val="24"/>
        </w:rPr>
      </w:pPr>
      <w:r>
        <w:rPr>
          <w:sz w:val="24"/>
          <w:szCs w:val="24"/>
        </w:rPr>
        <w:t>Zhang</w:t>
      </w:r>
      <w:r w:rsidRPr="00252912">
        <w:rPr>
          <w:sz w:val="24"/>
          <w:szCs w:val="24"/>
        </w:rPr>
        <w:t xml:space="preserve">, L. 2005. </w:t>
      </w:r>
      <w:proofErr w:type="gramStart"/>
      <w:r w:rsidRPr="00252912">
        <w:rPr>
          <w:sz w:val="24"/>
          <w:szCs w:val="24"/>
        </w:rPr>
        <w:t>The Value Premium.</w:t>
      </w:r>
      <w:proofErr w:type="gramEnd"/>
      <w:r w:rsidRPr="00252912">
        <w:rPr>
          <w:sz w:val="24"/>
          <w:szCs w:val="24"/>
        </w:rPr>
        <w:t xml:space="preserve"> </w:t>
      </w:r>
      <w:r w:rsidRPr="00252912">
        <w:rPr>
          <w:i/>
          <w:sz w:val="24"/>
          <w:szCs w:val="24"/>
        </w:rPr>
        <w:t>The Journal of Finance</w:t>
      </w:r>
      <w:r w:rsidRPr="00252912">
        <w:rPr>
          <w:sz w:val="24"/>
          <w:szCs w:val="24"/>
        </w:rPr>
        <w:t>, 60(1): 67-103.</w:t>
      </w:r>
    </w:p>
    <w:p w:rsidR="00EC5AD8" w:rsidRPr="00DB620E" w:rsidRDefault="00EC5AD8" w:rsidP="00BD7D34">
      <w:pPr>
        <w:spacing w:after="0" w:line="240" w:lineRule="auto"/>
        <w:rPr>
          <w:sz w:val="24"/>
          <w:szCs w:val="24"/>
        </w:rPr>
      </w:pPr>
    </w:p>
    <w:p w:rsidR="00B7755A" w:rsidRDefault="00B7755A">
      <w:pPr>
        <w:spacing w:after="0" w:line="240" w:lineRule="auto"/>
        <w:rPr>
          <w:sz w:val="24"/>
          <w:szCs w:val="24"/>
        </w:rPr>
      </w:pPr>
      <w:r>
        <w:rPr>
          <w:sz w:val="24"/>
          <w:szCs w:val="24"/>
        </w:rPr>
        <w:br w:type="page"/>
      </w:r>
    </w:p>
    <w:p w:rsidR="00064217" w:rsidRPr="00CD1178" w:rsidRDefault="00B7755A" w:rsidP="00BD7D34">
      <w:pPr>
        <w:spacing w:after="0" w:line="240" w:lineRule="auto"/>
        <w:rPr>
          <w:b/>
          <w:sz w:val="24"/>
          <w:szCs w:val="24"/>
        </w:rPr>
      </w:pPr>
      <w:r w:rsidRPr="00CD1178">
        <w:rPr>
          <w:b/>
          <w:sz w:val="24"/>
          <w:szCs w:val="24"/>
        </w:rPr>
        <w:lastRenderedPageBreak/>
        <w:t>Table 1</w:t>
      </w:r>
    </w:p>
    <w:tbl>
      <w:tblPr>
        <w:tblStyle w:val="TableGrid"/>
        <w:tblW w:w="0" w:type="auto"/>
        <w:tblLook w:val="04A0" w:firstRow="1" w:lastRow="0" w:firstColumn="1" w:lastColumn="0" w:noHBand="0" w:noVBand="1"/>
      </w:tblPr>
      <w:tblGrid>
        <w:gridCol w:w="1046"/>
        <w:gridCol w:w="1089"/>
        <w:gridCol w:w="1134"/>
        <w:gridCol w:w="1134"/>
        <w:gridCol w:w="1155"/>
        <w:gridCol w:w="1416"/>
        <w:gridCol w:w="1060"/>
        <w:gridCol w:w="1208"/>
      </w:tblGrid>
      <w:tr w:rsidR="00B7755A" w:rsidTr="00B7755A">
        <w:tc>
          <w:tcPr>
            <w:tcW w:w="1046" w:type="dxa"/>
            <w:vAlign w:val="center"/>
          </w:tcPr>
          <w:p w:rsidR="00B7755A" w:rsidRDefault="00B7755A" w:rsidP="00B7755A">
            <w:pPr>
              <w:spacing w:after="0" w:line="240" w:lineRule="auto"/>
              <w:jc w:val="center"/>
              <w:rPr>
                <w:color w:val="000000"/>
                <w:sz w:val="22"/>
                <w:szCs w:val="22"/>
              </w:rPr>
            </w:pPr>
            <w:r>
              <w:rPr>
                <w:color w:val="000000"/>
                <w:sz w:val="22"/>
                <w:szCs w:val="22"/>
              </w:rPr>
              <w:t>a</w:t>
            </w:r>
          </w:p>
        </w:tc>
        <w:tc>
          <w:tcPr>
            <w:tcW w:w="1089" w:type="dxa"/>
            <w:vAlign w:val="center"/>
          </w:tcPr>
          <w:p w:rsidR="00B7755A" w:rsidRDefault="00B7755A" w:rsidP="00B7755A">
            <w:pPr>
              <w:spacing w:after="0" w:line="240" w:lineRule="auto"/>
              <w:jc w:val="center"/>
              <w:rPr>
                <w:color w:val="000000"/>
                <w:sz w:val="22"/>
                <w:szCs w:val="22"/>
              </w:rPr>
            </w:pPr>
            <w:r>
              <w:rPr>
                <w:color w:val="000000"/>
                <w:sz w:val="22"/>
                <w:szCs w:val="22"/>
              </w:rPr>
              <w:t>X</w:t>
            </w:r>
          </w:p>
        </w:tc>
        <w:tc>
          <w:tcPr>
            <w:tcW w:w="1134" w:type="dxa"/>
            <w:vAlign w:val="center"/>
          </w:tcPr>
          <w:p w:rsidR="00B7755A" w:rsidRDefault="00B7755A" w:rsidP="00B7755A">
            <w:pPr>
              <w:spacing w:after="0" w:line="240" w:lineRule="auto"/>
              <w:jc w:val="center"/>
              <w:rPr>
                <w:color w:val="000000"/>
                <w:sz w:val="22"/>
                <w:szCs w:val="22"/>
              </w:rPr>
            </w:pPr>
            <w:r>
              <w:rPr>
                <w:color w:val="000000"/>
                <w:sz w:val="22"/>
                <w:szCs w:val="22"/>
              </w:rPr>
              <w:t>d+(X)</w:t>
            </w:r>
          </w:p>
        </w:tc>
        <w:tc>
          <w:tcPr>
            <w:tcW w:w="1134" w:type="dxa"/>
            <w:vAlign w:val="center"/>
          </w:tcPr>
          <w:p w:rsidR="00B7755A" w:rsidRDefault="00B7755A" w:rsidP="00B7755A">
            <w:pPr>
              <w:spacing w:after="0" w:line="240" w:lineRule="auto"/>
              <w:jc w:val="center"/>
              <w:rPr>
                <w:color w:val="000000"/>
                <w:sz w:val="22"/>
                <w:szCs w:val="22"/>
              </w:rPr>
            </w:pPr>
            <w:r>
              <w:rPr>
                <w:color w:val="000000"/>
                <w:sz w:val="22"/>
                <w:szCs w:val="22"/>
              </w:rPr>
              <w:t>d-(X)</w:t>
            </w:r>
          </w:p>
        </w:tc>
        <w:tc>
          <w:tcPr>
            <w:tcW w:w="1155" w:type="dxa"/>
            <w:vAlign w:val="center"/>
          </w:tcPr>
          <w:p w:rsidR="00B7755A" w:rsidRDefault="00B7755A" w:rsidP="00B7755A">
            <w:pPr>
              <w:spacing w:after="0" w:line="240" w:lineRule="auto"/>
              <w:jc w:val="center"/>
              <w:rPr>
                <w:color w:val="000000"/>
                <w:sz w:val="22"/>
                <w:szCs w:val="22"/>
              </w:rPr>
            </w:pPr>
            <w:r>
              <w:rPr>
                <w:color w:val="000000"/>
                <w:sz w:val="22"/>
                <w:szCs w:val="22"/>
              </w:rPr>
              <w:t>E(</w:t>
            </w:r>
            <w:proofErr w:type="spellStart"/>
            <w:r>
              <w:rPr>
                <w:color w:val="000000"/>
                <w:sz w:val="22"/>
                <w:szCs w:val="22"/>
              </w:rPr>
              <w:t>P|value</w:t>
            </w:r>
            <w:proofErr w:type="spellEnd"/>
            <w:r>
              <w:rPr>
                <w:color w:val="000000"/>
                <w:sz w:val="22"/>
                <w:szCs w:val="22"/>
              </w:rPr>
              <w:t>)</w:t>
            </w:r>
          </w:p>
        </w:tc>
        <w:tc>
          <w:tcPr>
            <w:tcW w:w="1416" w:type="dxa"/>
            <w:vAlign w:val="center"/>
          </w:tcPr>
          <w:p w:rsidR="00B7755A" w:rsidRDefault="00B7755A" w:rsidP="00B7755A">
            <w:pPr>
              <w:spacing w:after="0" w:line="240" w:lineRule="auto"/>
              <w:jc w:val="center"/>
              <w:rPr>
                <w:color w:val="000000"/>
                <w:sz w:val="22"/>
                <w:szCs w:val="22"/>
              </w:rPr>
            </w:pPr>
            <w:r>
              <w:rPr>
                <w:color w:val="000000"/>
                <w:sz w:val="22"/>
                <w:szCs w:val="22"/>
              </w:rPr>
              <w:t>E(</w:t>
            </w:r>
            <w:proofErr w:type="spellStart"/>
            <w:r>
              <w:rPr>
                <w:color w:val="000000"/>
                <w:sz w:val="22"/>
                <w:szCs w:val="22"/>
              </w:rPr>
              <w:t>P|glamour</w:t>
            </w:r>
            <w:proofErr w:type="spellEnd"/>
            <w:r>
              <w:rPr>
                <w:color w:val="000000"/>
                <w:sz w:val="22"/>
                <w:szCs w:val="22"/>
              </w:rPr>
              <w:t>)</w:t>
            </w:r>
          </w:p>
        </w:tc>
        <w:tc>
          <w:tcPr>
            <w:tcW w:w="1060" w:type="dxa"/>
            <w:vAlign w:val="center"/>
          </w:tcPr>
          <w:p w:rsidR="00B7755A" w:rsidRDefault="00B7755A" w:rsidP="00B7755A">
            <w:pPr>
              <w:spacing w:after="0" w:line="240" w:lineRule="auto"/>
              <w:jc w:val="center"/>
              <w:rPr>
                <w:color w:val="000000"/>
                <w:sz w:val="22"/>
                <w:szCs w:val="22"/>
              </w:rPr>
            </w:pPr>
            <w:r>
              <w:rPr>
                <w:color w:val="000000"/>
                <w:sz w:val="22"/>
                <w:szCs w:val="22"/>
              </w:rPr>
              <w:t>Ratio</w:t>
            </w:r>
            <w:r w:rsidR="00CD1178">
              <w:rPr>
                <w:color w:val="000000"/>
                <w:sz w:val="22"/>
                <w:szCs w:val="22"/>
              </w:rPr>
              <w:t xml:space="preserve"> of E(P)s</w:t>
            </w:r>
          </w:p>
        </w:tc>
        <w:tc>
          <w:tcPr>
            <w:tcW w:w="1208" w:type="dxa"/>
            <w:vAlign w:val="center"/>
          </w:tcPr>
          <w:p w:rsidR="00B7755A" w:rsidRDefault="00B7755A" w:rsidP="00B7755A">
            <w:pPr>
              <w:spacing w:after="0" w:line="240" w:lineRule="auto"/>
              <w:jc w:val="center"/>
              <w:rPr>
                <w:color w:val="000000"/>
                <w:sz w:val="22"/>
                <w:szCs w:val="22"/>
              </w:rPr>
            </w:pPr>
            <w:r>
              <w:rPr>
                <w:color w:val="000000"/>
                <w:sz w:val="22"/>
                <w:szCs w:val="22"/>
              </w:rPr>
              <w:t>Annualised</w:t>
            </w:r>
            <w:r w:rsidR="00CD1178">
              <w:rPr>
                <w:color w:val="000000"/>
                <w:sz w:val="22"/>
                <w:szCs w:val="22"/>
              </w:rPr>
              <w:t xml:space="preserve"> difference</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0.01</w:t>
            </w:r>
          </w:p>
        </w:tc>
        <w:tc>
          <w:tcPr>
            <w:tcW w:w="1089" w:type="dxa"/>
            <w:vAlign w:val="center"/>
          </w:tcPr>
          <w:p w:rsidR="00B7755A" w:rsidRDefault="00B7755A" w:rsidP="00B7755A">
            <w:pPr>
              <w:spacing w:after="0"/>
              <w:jc w:val="center"/>
              <w:rPr>
                <w:color w:val="000000"/>
                <w:sz w:val="22"/>
                <w:szCs w:val="22"/>
              </w:rPr>
            </w:pPr>
            <w:r>
              <w:rPr>
                <w:color w:val="000000"/>
                <w:sz w:val="22"/>
                <w:szCs w:val="22"/>
              </w:rPr>
              <w:t>123.07</w:t>
            </w:r>
          </w:p>
        </w:tc>
        <w:tc>
          <w:tcPr>
            <w:tcW w:w="1134" w:type="dxa"/>
            <w:vAlign w:val="center"/>
          </w:tcPr>
          <w:p w:rsidR="00B7755A" w:rsidRDefault="00B7755A" w:rsidP="00B7755A">
            <w:pPr>
              <w:spacing w:after="0"/>
              <w:jc w:val="center"/>
              <w:rPr>
                <w:color w:val="000000"/>
                <w:sz w:val="22"/>
                <w:szCs w:val="22"/>
              </w:rPr>
            </w:pPr>
            <w:r>
              <w:rPr>
                <w:color w:val="000000"/>
                <w:sz w:val="22"/>
                <w:szCs w:val="22"/>
              </w:rPr>
              <w:t>0.435218</w:t>
            </w:r>
          </w:p>
        </w:tc>
        <w:tc>
          <w:tcPr>
            <w:tcW w:w="1134" w:type="dxa"/>
            <w:vAlign w:val="center"/>
          </w:tcPr>
          <w:p w:rsidR="00B7755A" w:rsidRDefault="00B7755A" w:rsidP="00B7755A">
            <w:pPr>
              <w:spacing w:after="0"/>
              <w:jc w:val="center"/>
              <w:rPr>
                <w:color w:val="000000"/>
                <w:sz w:val="22"/>
                <w:szCs w:val="22"/>
              </w:rPr>
            </w:pPr>
            <w:r>
              <w:rPr>
                <w:color w:val="000000"/>
                <w:sz w:val="22"/>
                <w:szCs w:val="22"/>
              </w:rPr>
              <w:t>0.323415</w:t>
            </w:r>
          </w:p>
        </w:tc>
        <w:tc>
          <w:tcPr>
            <w:tcW w:w="1155" w:type="dxa"/>
            <w:vAlign w:val="center"/>
          </w:tcPr>
          <w:p w:rsidR="00B7755A" w:rsidRDefault="00B7755A" w:rsidP="00B7755A">
            <w:pPr>
              <w:spacing w:after="0"/>
              <w:jc w:val="center"/>
              <w:rPr>
                <w:color w:val="000000"/>
                <w:sz w:val="22"/>
                <w:szCs w:val="22"/>
              </w:rPr>
            </w:pPr>
            <w:r>
              <w:rPr>
                <w:color w:val="000000"/>
                <w:sz w:val="22"/>
                <w:szCs w:val="22"/>
              </w:rPr>
              <w:t>106.9015</w:t>
            </w:r>
          </w:p>
        </w:tc>
        <w:tc>
          <w:tcPr>
            <w:tcW w:w="1416" w:type="dxa"/>
            <w:vAlign w:val="center"/>
          </w:tcPr>
          <w:p w:rsidR="00B7755A" w:rsidRDefault="00B7755A" w:rsidP="00B7755A">
            <w:pPr>
              <w:spacing w:after="0"/>
              <w:jc w:val="center"/>
              <w:rPr>
                <w:color w:val="000000"/>
                <w:sz w:val="22"/>
                <w:szCs w:val="22"/>
              </w:rPr>
            </w:pPr>
            <w:r>
              <w:rPr>
                <w:color w:val="000000"/>
                <w:sz w:val="22"/>
                <w:szCs w:val="22"/>
              </w:rPr>
              <w:t>84.1277</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4.91%</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0.02</w:t>
            </w:r>
          </w:p>
        </w:tc>
        <w:tc>
          <w:tcPr>
            <w:tcW w:w="1089" w:type="dxa"/>
            <w:vAlign w:val="center"/>
          </w:tcPr>
          <w:p w:rsidR="00B7755A" w:rsidRDefault="00B7755A" w:rsidP="00B7755A">
            <w:pPr>
              <w:spacing w:after="0"/>
              <w:jc w:val="center"/>
              <w:rPr>
                <w:color w:val="000000"/>
                <w:sz w:val="22"/>
                <w:szCs w:val="22"/>
              </w:rPr>
            </w:pPr>
            <w:r>
              <w:rPr>
                <w:color w:val="000000"/>
                <w:sz w:val="22"/>
                <w:szCs w:val="22"/>
              </w:rPr>
              <w:t>124.02</w:t>
            </w:r>
          </w:p>
        </w:tc>
        <w:tc>
          <w:tcPr>
            <w:tcW w:w="1134" w:type="dxa"/>
            <w:vAlign w:val="center"/>
          </w:tcPr>
          <w:p w:rsidR="00B7755A" w:rsidRDefault="00B7755A" w:rsidP="00B7755A">
            <w:pPr>
              <w:spacing w:after="0"/>
              <w:jc w:val="center"/>
              <w:rPr>
                <w:color w:val="000000"/>
                <w:sz w:val="22"/>
                <w:szCs w:val="22"/>
              </w:rPr>
            </w:pPr>
            <w:r>
              <w:rPr>
                <w:color w:val="000000"/>
                <w:sz w:val="22"/>
                <w:szCs w:val="22"/>
              </w:rPr>
              <w:t>0.366463</w:t>
            </w:r>
          </w:p>
        </w:tc>
        <w:tc>
          <w:tcPr>
            <w:tcW w:w="1134" w:type="dxa"/>
            <w:vAlign w:val="center"/>
          </w:tcPr>
          <w:p w:rsidR="00B7755A" w:rsidRDefault="00B7755A" w:rsidP="00B7755A">
            <w:pPr>
              <w:spacing w:after="0"/>
              <w:jc w:val="center"/>
              <w:rPr>
                <w:color w:val="000000"/>
                <w:sz w:val="22"/>
                <w:szCs w:val="22"/>
              </w:rPr>
            </w:pPr>
            <w:r>
              <w:rPr>
                <w:color w:val="000000"/>
                <w:sz w:val="22"/>
                <w:szCs w:val="22"/>
              </w:rPr>
              <w:t>0.254659</w:t>
            </w:r>
          </w:p>
        </w:tc>
        <w:tc>
          <w:tcPr>
            <w:tcW w:w="1155" w:type="dxa"/>
            <w:vAlign w:val="center"/>
          </w:tcPr>
          <w:p w:rsidR="00B7755A" w:rsidRDefault="00B7755A" w:rsidP="00B7755A">
            <w:pPr>
              <w:spacing w:after="0"/>
              <w:jc w:val="center"/>
              <w:rPr>
                <w:color w:val="000000"/>
                <w:sz w:val="22"/>
                <w:szCs w:val="22"/>
              </w:rPr>
            </w:pPr>
            <w:r>
              <w:rPr>
                <w:color w:val="000000"/>
                <w:sz w:val="22"/>
                <w:szCs w:val="22"/>
              </w:rPr>
              <w:t>107.4865</w:t>
            </w:r>
          </w:p>
        </w:tc>
        <w:tc>
          <w:tcPr>
            <w:tcW w:w="1416" w:type="dxa"/>
            <w:vAlign w:val="center"/>
          </w:tcPr>
          <w:p w:rsidR="00B7755A" w:rsidRDefault="00B7755A" w:rsidP="00B7755A">
            <w:pPr>
              <w:spacing w:after="0"/>
              <w:jc w:val="center"/>
              <w:rPr>
                <w:color w:val="000000"/>
                <w:sz w:val="22"/>
                <w:szCs w:val="22"/>
              </w:rPr>
            </w:pPr>
            <w:r>
              <w:rPr>
                <w:color w:val="000000"/>
                <w:sz w:val="22"/>
                <w:szCs w:val="22"/>
              </w:rPr>
              <w:t>84.7479</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4.87%</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0.03</w:t>
            </w:r>
          </w:p>
        </w:tc>
        <w:tc>
          <w:tcPr>
            <w:tcW w:w="1089" w:type="dxa"/>
            <w:vAlign w:val="center"/>
          </w:tcPr>
          <w:p w:rsidR="00B7755A" w:rsidRDefault="00B7755A" w:rsidP="00B7755A">
            <w:pPr>
              <w:spacing w:after="0"/>
              <w:jc w:val="center"/>
              <w:rPr>
                <w:color w:val="000000"/>
                <w:sz w:val="22"/>
                <w:szCs w:val="22"/>
              </w:rPr>
            </w:pPr>
            <w:r>
              <w:rPr>
                <w:color w:val="000000"/>
                <w:sz w:val="22"/>
                <w:szCs w:val="22"/>
              </w:rPr>
              <w:t>124.99</w:t>
            </w:r>
          </w:p>
        </w:tc>
        <w:tc>
          <w:tcPr>
            <w:tcW w:w="1134" w:type="dxa"/>
            <w:vAlign w:val="center"/>
          </w:tcPr>
          <w:p w:rsidR="00B7755A" w:rsidRDefault="00B7755A" w:rsidP="00B7755A">
            <w:pPr>
              <w:spacing w:after="0"/>
              <w:jc w:val="center"/>
              <w:rPr>
                <w:color w:val="000000"/>
                <w:sz w:val="22"/>
                <w:szCs w:val="22"/>
              </w:rPr>
            </w:pPr>
            <w:r>
              <w:rPr>
                <w:color w:val="000000"/>
                <w:sz w:val="22"/>
                <w:szCs w:val="22"/>
              </w:rPr>
              <w:t>0.29683</w:t>
            </w:r>
          </w:p>
        </w:tc>
        <w:tc>
          <w:tcPr>
            <w:tcW w:w="1134" w:type="dxa"/>
            <w:vAlign w:val="center"/>
          </w:tcPr>
          <w:p w:rsidR="00B7755A" w:rsidRDefault="00B7755A" w:rsidP="00B7755A">
            <w:pPr>
              <w:spacing w:after="0"/>
              <w:jc w:val="center"/>
              <w:rPr>
                <w:color w:val="000000"/>
                <w:sz w:val="22"/>
                <w:szCs w:val="22"/>
              </w:rPr>
            </w:pPr>
            <w:r>
              <w:rPr>
                <w:color w:val="000000"/>
                <w:sz w:val="22"/>
                <w:szCs w:val="22"/>
              </w:rPr>
              <w:t>0.185027</w:t>
            </w:r>
          </w:p>
        </w:tc>
        <w:tc>
          <w:tcPr>
            <w:tcW w:w="1155" w:type="dxa"/>
            <w:vAlign w:val="center"/>
          </w:tcPr>
          <w:p w:rsidR="00B7755A" w:rsidRDefault="00B7755A" w:rsidP="00B7755A">
            <w:pPr>
              <w:spacing w:after="0"/>
              <w:jc w:val="center"/>
              <w:rPr>
                <w:color w:val="000000"/>
                <w:sz w:val="22"/>
                <w:szCs w:val="22"/>
              </w:rPr>
            </w:pPr>
            <w:r>
              <w:rPr>
                <w:color w:val="000000"/>
                <w:sz w:val="22"/>
                <w:szCs w:val="22"/>
              </w:rPr>
              <w:t>108.1002</w:t>
            </w:r>
          </w:p>
        </w:tc>
        <w:tc>
          <w:tcPr>
            <w:tcW w:w="1416" w:type="dxa"/>
            <w:vAlign w:val="center"/>
          </w:tcPr>
          <w:p w:rsidR="00B7755A" w:rsidRDefault="00B7755A" w:rsidP="00B7755A">
            <w:pPr>
              <w:spacing w:after="0"/>
              <w:jc w:val="center"/>
              <w:rPr>
                <w:color w:val="000000"/>
                <w:sz w:val="22"/>
                <w:szCs w:val="22"/>
              </w:rPr>
            </w:pPr>
            <w:r>
              <w:rPr>
                <w:color w:val="000000"/>
                <w:sz w:val="22"/>
                <w:szCs w:val="22"/>
              </w:rPr>
              <w:t>85.3680</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4.83%</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0.04</w:t>
            </w:r>
          </w:p>
        </w:tc>
        <w:tc>
          <w:tcPr>
            <w:tcW w:w="1089" w:type="dxa"/>
            <w:vAlign w:val="center"/>
          </w:tcPr>
          <w:p w:rsidR="00B7755A" w:rsidRDefault="00B7755A" w:rsidP="00B7755A">
            <w:pPr>
              <w:spacing w:after="0"/>
              <w:jc w:val="center"/>
              <w:rPr>
                <w:color w:val="000000"/>
                <w:sz w:val="22"/>
                <w:szCs w:val="22"/>
              </w:rPr>
            </w:pPr>
            <w:r>
              <w:rPr>
                <w:color w:val="000000"/>
                <w:sz w:val="22"/>
                <w:szCs w:val="22"/>
              </w:rPr>
              <w:t>125.98</w:t>
            </w:r>
          </w:p>
        </w:tc>
        <w:tc>
          <w:tcPr>
            <w:tcW w:w="1134" w:type="dxa"/>
            <w:vAlign w:val="center"/>
          </w:tcPr>
          <w:p w:rsidR="00B7755A" w:rsidRDefault="00B7755A" w:rsidP="00B7755A">
            <w:pPr>
              <w:spacing w:after="0"/>
              <w:jc w:val="center"/>
              <w:rPr>
                <w:color w:val="000000"/>
                <w:sz w:val="22"/>
                <w:szCs w:val="22"/>
              </w:rPr>
            </w:pPr>
            <w:r>
              <w:rPr>
                <w:color w:val="000000"/>
                <w:sz w:val="22"/>
                <w:szCs w:val="22"/>
              </w:rPr>
              <w:t>0.226302</w:t>
            </w:r>
          </w:p>
        </w:tc>
        <w:tc>
          <w:tcPr>
            <w:tcW w:w="1134" w:type="dxa"/>
            <w:vAlign w:val="center"/>
          </w:tcPr>
          <w:p w:rsidR="00B7755A" w:rsidRDefault="00B7755A" w:rsidP="00B7755A">
            <w:pPr>
              <w:spacing w:after="0"/>
              <w:jc w:val="center"/>
              <w:rPr>
                <w:color w:val="000000"/>
                <w:sz w:val="22"/>
                <w:szCs w:val="22"/>
              </w:rPr>
            </w:pPr>
            <w:r>
              <w:rPr>
                <w:color w:val="000000"/>
                <w:sz w:val="22"/>
                <w:szCs w:val="22"/>
              </w:rPr>
              <w:t>0.114499</w:t>
            </w:r>
          </w:p>
        </w:tc>
        <w:tc>
          <w:tcPr>
            <w:tcW w:w="1155" w:type="dxa"/>
            <w:vAlign w:val="center"/>
          </w:tcPr>
          <w:p w:rsidR="00B7755A" w:rsidRDefault="00B7755A" w:rsidP="00B7755A">
            <w:pPr>
              <w:spacing w:after="0"/>
              <w:jc w:val="center"/>
              <w:rPr>
                <w:color w:val="000000"/>
                <w:sz w:val="22"/>
                <w:szCs w:val="22"/>
              </w:rPr>
            </w:pPr>
            <w:r>
              <w:rPr>
                <w:color w:val="000000"/>
                <w:sz w:val="22"/>
                <w:szCs w:val="22"/>
              </w:rPr>
              <w:t>108.7434</w:t>
            </w:r>
          </w:p>
        </w:tc>
        <w:tc>
          <w:tcPr>
            <w:tcW w:w="1416" w:type="dxa"/>
            <w:vAlign w:val="center"/>
          </w:tcPr>
          <w:p w:rsidR="00B7755A" w:rsidRDefault="00B7755A" w:rsidP="00B7755A">
            <w:pPr>
              <w:spacing w:after="0"/>
              <w:jc w:val="center"/>
              <w:rPr>
                <w:color w:val="000000"/>
                <w:sz w:val="22"/>
                <w:szCs w:val="22"/>
              </w:rPr>
            </w:pPr>
            <w:r>
              <w:rPr>
                <w:color w:val="000000"/>
                <w:sz w:val="22"/>
                <w:szCs w:val="22"/>
              </w:rPr>
              <w:t>85.9873</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4.81%</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0.05</w:t>
            </w:r>
          </w:p>
        </w:tc>
        <w:tc>
          <w:tcPr>
            <w:tcW w:w="1089" w:type="dxa"/>
            <w:vAlign w:val="center"/>
          </w:tcPr>
          <w:p w:rsidR="00B7755A" w:rsidRDefault="00B7755A" w:rsidP="00B7755A">
            <w:pPr>
              <w:spacing w:after="0"/>
              <w:jc w:val="center"/>
              <w:rPr>
                <w:color w:val="000000"/>
                <w:sz w:val="22"/>
                <w:szCs w:val="22"/>
              </w:rPr>
            </w:pPr>
            <w:r>
              <w:rPr>
                <w:color w:val="000000"/>
                <w:sz w:val="22"/>
                <w:szCs w:val="22"/>
              </w:rPr>
              <w:t>126.99</w:t>
            </w:r>
          </w:p>
        </w:tc>
        <w:tc>
          <w:tcPr>
            <w:tcW w:w="1134" w:type="dxa"/>
            <w:vAlign w:val="center"/>
          </w:tcPr>
          <w:p w:rsidR="00B7755A" w:rsidRDefault="00B7755A" w:rsidP="00B7755A">
            <w:pPr>
              <w:spacing w:after="0"/>
              <w:jc w:val="center"/>
              <w:rPr>
                <w:color w:val="000000"/>
                <w:sz w:val="22"/>
                <w:szCs w:val="22"/>
              </w:rPr>
            </w:pPr>
            <w:r>
              <w:rPr>
                <w:color w:val="000000"/>
                <w:sz w:val="22"/>
                <w:szCs w:val="22"/>
              </w:rPr>
              <w:t>0.154858</w:t>
            </w:r>
          </w:p>
        </w:tc>
        <w:tc>
          <w:tcPr>
            <w:tcW w:w="1134" w:type="dxa"/>
            <w:vAlign w:val="center"/>
          </w:tcPr>
          <w:p w:rsidR="00B7755A" w:rsidRDefault="00B7755A" w:rsidP="00B7755A">
            <w:pPr>
              <w:spacing w:after="0"/>
              <w:jc w:val="center"/>
              <w:rPr>
                <w:color w:val="000000"/>
                <w:sz w:val="22"/>
                <w:szCs w:val="22"/>
              </w:rPr>
            </w:pPr>
            <w:r>
              <w:rPr>
                <w:color w:val="000000"/>
                <w:sz w:val="22"/>
                <w:szCs w:val="22"/>
              </w:rPr>
              <w:t>0.043055</w:t>
            </w:r>
          </w:p>
        </w:tc>
        <w:tc>
          <w:tcPr>
            <w:tcW w:w="1155" w:type="dxa"/>
            <w:vAlign w:val="center"/>
          </w:tcPr>
          <w:p w:rsidR="00B7755A" w:rsidRDefault="00B7755A" w:rsidP="00B7755A">
            <w:pPr>
              <w:spacing w:after="0"/>
              <w:jc w:val="center"/>
              <w:rPr>
                <w:color w:val="000000"/>
                <w:sz w:val="22"/>
                <w:szCs w:val="22"/>
              </w:rPr>
            </w:pPr>
            <w:r>
              <w:rPr>
                <w:color w:val="000000"/>
                <w:sz w:val="22"/>
                <w:szCs w:val="22"/>
              </w:rPr>
              <w:t>109.4168</w:t>
            </w:r>
          </w:p>
        </w:tc>
        <w:tc>
          <w:tcPr>
            <w:tcW w:w="1416" w:type="dxa"/>
            <w:vAlign w:val="center"/>
          </w:tcPr>
          <w:p w:rsidR="00B7755A" w:rsidRDefault="00B7755A" w:rsidP="00B7755A">
            <w:pPr>
              <w:spacing w:after="0"/>
              <w:jc w:val="center"/>
              <w:rPr>
                <w:color w:val="000000"/>
                <w:sz w:val="22"/>
                <w:szCs w:val="22"/>
              </w:rPr>
            </w:pPr>
            <w:r>
              <w:rPr>
                <w:color w:val="000000"/>
                <w:sz w:val="22"/>
                <w:szCs w:val="22"/>
              </w:rPr>
              <w:t>86.6049</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4.79%</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0.06</w:t>
            </w:r>
          </w:p>
        </w:tc>
        <w:tc>
          <w:tcPr>
            <w:tcW w:w="1089" w:type="dxa"/>
            <w:vAlign w:val="center"/>
          </w:tcPr>
          <w:p w:rsidR="00B7755A" w:rsidRDefault="00B7755A" w:rsidP="00B7755A">
            <w:pPr>
              <w:spacing w:after="0"/>
              <w:jc w:val="center"/>
              <w:rPr>
                <w:color w:val="000000"/>
                <w:sz w:val="22"/>
                <w:szCs w:val="22"/>
              </w:rPr>
            </w:pPr>
            <w:r>
              <w:rPr>
                <w:color w:val="000000"/>
                <w:sz w:val="22"/>
                <w:szCs w:val="22"/>
              </w:rPr>
              <w:t>128.02</w:t>
            </w:r>
          </w:p>
        </w:tc>
        <w:tc>
          <w:tcPr>
            <w:tcW w:w="1134" w:type="dxa"/>
            <w:vAlign w:val="center"/>
          </w:tcPr>
          <w:p w:rsidR="00B7755A" w:rsidRDefault="00B7755A" w:rsidP="00B7755A">
            <w:pPr>
              <w:spacing w:after="0"/>
              <w:jc w:val="center"/>
              <w:rPr>
                <w:color w:val="000000"/>
                <w:sz w:val="22"/>
                <w:szCs w:val="22"/>
              </w:rPr>
            </w:pPr>
            <w:r>
              <w:rPr>
                <w:color w:val="000000"/>
                <w:sz w:val="22"/>
                <w:szCs w:val="22"/>
              </w:rPr>
              <w:t>0.082479</w:t>
            </w:r>
          </w:p>
        </w:tc>
        <w:tc>
          <w:tcPr>
            <w:tcW w:w="1134" w:type="dxa"/>
            <w:vAlign w:val="center"/>
          </w:tcPr>
          <w:p w:rsidR="00B7755A" w:rsidRDefault="00B7755A" w:rsidP="00B7755A">
            <w:pPr>
              <w:spacing w:after="0"/>
              <w:jc w:val="center"/>
              <w:rPr>
                <w:color w:val="000000"/>
                <w:sz w:val="22"/>
                <w:szCs w:val="22"/>
              </w:rPr>
            </w:pPr>
            <w:r>
              <w:rPr>
                <w:color w:val="000000"/>
                <w:sz w:val="22"/>
                <w:szCs w:val="22"/>
              </w:rPr>
              <w:t>-0.02932</w:t>
            </w:r>
          </w:p>
        </w:tc>
        <w:tc>
          <w:tcPr>
            <w:tcW w:w="1155" w:type="dxa"/>
            <w:vAlign w:val="center"/>
          </w:tcPr>
          <w:p w:rsidR="00B7755A" w:rsidRDefault="00B7755A" w:rsidP="00B7755A">
            <w:pPr>
              <w:spacing w:after="0"/>
              <w:jc w:val="center"/>
              <w:rPr>
                <w:color w:val="000000"/>
                <w:sz w:val="22"/>
                <w:szCs w:val="22"/>
              </w:rPr>
            </w:pPr>
            <w:r>
              <w:rPr>
                <w:color w:val="000000"/>
                <w:sz w:val="22"/>
                <w:szCs w:val="22"/>
              </w:rPr>
              <w:t>110.1210</w:t>
            </w:r>
          </w:p>
        </w:tc>
        <w:tc>
          <w:tcPr>
            <w:tcW w:w="1416" w:type="dxa"/>
            <w:vAlign w:val="center"/>
          </w:tcPr>
          <w:p w:rsidR="00B7755A" w:rsidRDefault="00B7755A" w:rsidP="00B7755A">
            <w:pPr>
              <w:spacing w:after="0"/>
              <w:jc w:val="center"/>
              <w:rPr>
                <w:color w:val="000000"/>
                <w:sz w:val="22"/>
                <w:szCs w:val="22"/>
              </w:rPr>
            </w:pPr>
            <w:r>
              <w:rPr>
                <w:color w:val="000000"/>
                <w:sz w:val="22"/>
                <w:szCs w:val="22"/>
              </w:rPr>
              <w:t>87.2198</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4.77%</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0.07</w:t>
            </w:r>
          </w:p>
        </w:tc>
        <w:tc>
          <w:tcPr>
            <w:tcW w:w="1089" w:type="dxa"/>
            <w:vAlign w:val="center"/>
          </w:tcPr>
          <w:p w:rsidR="00B7755A" w:rsidRDefault="00B7755A" w:rsidP="00B7755A">
            <w:pPr>
              <w:spacing w:after="0"/>
              <w:jc w:val="center"/>
              <w:rPr>
                <w:color w:val="000000"/>
                <w:sz w:val="22"/>
                <w:szCs w:val="22"/>
              </w:rPr>
            </w:pPr>
            <w:r>
              <w:rPr>
                <w:color w:val="000000"/>
                <w:sz w:val="22"/>
                <w:szCs w:val="22"/>
              </w:rPr>
              <w:t>129.08</w:t>
            </w:r>
          </w:p>
        </w:tc>
        <w:tc>
          <w:tcPr>
            <w:tcW w:w="1134" w:type="dxa"/>
            <w:vAlign w:val="center"/>
          </w:tcPr>
          <w:p w:rsidR="00B7755A" w:rsidRDefault="00B7755A" w:rsidP="00B7755A">
            <w:pPr>
              <w:spacing w:after="0"/>
              <w:jc w:val="center"/>
              <w:rPr>
                <w:color w:val="000000"/>
                <w:sz w:val="22"/>
                <w:szCs w:val="22"/>
              </w:rPr>
            </w:pPr>
            <w:r>
              <w:rPr>
                <w:color w:val="000000"/>
                <w:sz w:val="22"/>
                <w:szCs w:val="22"/>
              </w:rPr>
              <w:t>0.009143</w:t>
            </w:r>
          </w:p>
        </w:tc>
        <w:tc>
          <w:tcPr>
            <w:tcW w:w="1134" w:type="dxa"/>
            <w:vAlign w:val="center"/>
          </w:tcPr>
          <w:p w:rsidR="00B7755A" w:rsidRDefault="00B7755A" w:rsidP="00B7755A">
            <w:pPr>
              <w:spacing w:after="0"/>
              <w:jc w:val="center"/>
              <w:rPr>
                <w:color w:val="000000"/>
                <w:sz w:val="22"/>
                <w:szCs w:val="22"/>
              </w:rPr>
            </w:pPr>
            <w:r>
              <w:rPr>
                <w:color w:val="000000"/>
                <w:sz w:val="22"/>
                <w:szCs w:val="22"/>
              </w:rPr>
              <w:t>-0.10266</w:t>
            </w:r>
          </w:p>
        </w:tc>
        <w:tc>
          <w:tcPr>
            <w:tcW w:w="1155" w:type="dxa"/>
            <w:vAlign w:val="center"/>
          </w:tcPr>
          <w:p w:rsidR="00B7755A" w:rsidRDefault="00B7755A" w:rsidP="00B7755A">
            <w:pPr>
              <w:spacing w:after="0"/>
              <w:jc w:val="center"/>
              <w:rPr>
                <w:color w:val="000000"/>
                <w:sz w:val="22"/>
                <w:szCs w:val="22"/>
              </w:rPr>
            </w:pPr>
            <w:r>
              <w:rPr>
                <w:color w:val="000000"/>
                <w:sz w:val="22"/>
                <w:szCs w:val="22"/>
              </w:rPr>
              <w:t>110.8567</w:t>
            </w:r>
          </w:p>
        </w:tc>
        <w:tc>
          <w:tcPr>
            <w:tcW w:w="1416" w:type="dxa"/>
            <w:vAlign w:val="center"/>
          </w:tcPr>
          <w:p w:rsidR="00B7755A" w:rsidRDefault="00B7755A" w:rsidP="00B7755A">
            <w:pPr>
              <w:spacing w:after="0"/>
              <w:jc w:val="center"/>
              <w:rPr>
                <w:color w:val="000000"/>
                <w:sz w:val="22"/>
                <w:szCs w:val="22"/>
              </w:rPr>
            </w:pPr>
            <w:r>
              <w:rPr>
                <w:color w:val="000000"/>
                <w:sz w:val="22"/>
                <w:szCs w:val="22"/>
              </w:rPr>
              <w:t>87.8311</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4.77%</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0.08</w:t>
            </w:r>
          </w:p>
        </w:tc>
        <w:tc>
          <w:tcPr>
            <w:tcW w:w="1089" w:type="dxa"/>
            <w:vAlign w:val="center"/>
          </w:tcPr>
          <w:p w:rsidR="00B7755A" w:rsidRDefault="00B7755A" w:rsidP="00B7755A">
            <w:pPr>
              <w:spacing w:after="0"/>
              <w:jc w:val="center"/>
              <w:rPr>
                <w:color w:val="000000"/>
                <w:sz w:val="22"/>
                <w:szCs w:val="22"/>
              </w:rPr>
            </w:pPr>
            <w:r>
              <w:rPr>
                <w:color w:val="000000"/>
                <w:sz w:val="22"/>
                <w:szCs w:val="22"/>
              </w:rPr>
              <w:t>130.15</w:t>
            </w:r>
          </w:p>
        </w:tc>
        <w:tc>
          <w:tcPr>
            <w:tcW w:w="1134" w:type="dxa"/>
            <w:vAlign w:val="center"/>
          </w:tcPr>
          <w:p w:rsidR="00B7755A" w:rsidRDefault="00B7755A" w:rsidP="00B7755A">
            <w:pPr>
              <w:spacing w:after="0"/>
              <w:jc w:val="center"/>
              <w:rPr>
                <w:color w:val="000000"/>
                <w:sz w:val="22"/>
                <w:szCs w:val="22"/>
              </w:rPr>
            </w:pPr>
            <w:r>
              <w:rPr>
                <w:color w:val="000000"/>
                <w:sz w:val="22"/>
                <w:szCs w:val="22"/>
              </w:rPr>
              <w:t>-0.06517</w:t>
            </w:r>
          </w:p>
        </w:tc>
        <w:tc>
          <w:tcPr>
            <w:tcW w:w="1134" w:type="dxa"/>
            <w:vAlign w:val="center"/>
          </w:tcPr>
          <w:p w:rsidR="00B7755A" w:rsidRDefault="00B7755A" w:rsidP="00B7755A">
            <w:pPr>
              <w:spacing w:after="0"/>
              <w:jc w:val="center"/>
              <w:rPr>
                <w:color w:val="000000"/>
                <w:sz w:val="22"/>
                <w:szCs w:val="22"/>
              </w:rPr>
            </w:pPr>
            <w:r>
              <w:rPr>
                <w:color w:val="000000"/>
                <w:sz w:val="22"/>
                <w:szCs w:val="22"/>
              </w:rPr>
              <w:t>-0.17698</w:t>
            </w:r>
          </w:p>
        </w:tc>
        <w:tc>
          <w:tcPr>
            <w:tcW w:w="1155" w:type="dxa"/>
            <w:vAlign w:val="center"/>
          </w:tcPr>
          <w:p w:rsidR="00B7755A" w:rsidRDefault="00B7755A" w:rsidP="00B7755A">
            <w:pPr>
              <w:spacing w:after="0"/>
              <w:jc w:val="center"/>
              <w:rPr>
                <w:color w:val="000000"/>
                <w:sz w:val="22"/>
                <w:szCs w:val="22"/>
              </w:rPr>
            </w:pPr>
            <w:r>
              <w:rPr>
                <w:color w:val="000000"/>
                <w:sz w:val="22"/>
                <w:szCs w:val="22"/>
              </w:rPr>
              <w:t>111.6247</w:t>
            </w:r>
          </w:p>
        </w:tc>
        <w:tc>
          <w:tcPr>
            <w:tcW w:w="1416" w:type="dxa"/>
            <w:vAlign w:val="center"/>
          </w:tcPr>
          <w:p w:rsidR="00B7755A" w:rsidRDefault="00B7755A" w:rsidP="00B7755A">
            <w:pPr>
              <w:spacing w:after="0"/>
              <w:jc w:val="center"/>
              <w:rPr>
                <w:color w:val="000000"/>
                <w:sz w:val="22"/>
                <w:szCs w:val="22"/>
              </w:rPr>
            </w:pPr>
            <w:r>
              <w:rPr>
                <w:color w:val="000000"/>
                <w:sz w:val="22"/>
                <w:szCs w:val="22"/>
              </w:rPr>
              <w:t>88.4375</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4.77%</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0.09</w:t>
            </w:r>
          </w:p>
        </w:tc>
        <w:tc>
          <w:tcPr>
            <w:tcW w:w="1089" w:type="dxa"/>
            <w:vAlign w:val="center"/>
          </w:tcPr>
          <w:p w:rsidR="00B7755A" w:rsidRDefault="00B7755A" w:rsidP="00B7755A">
            <w:pPr>
              <w:spacing w:after="0"/>
              <w:jc w:val="center"/>
              <w:rPr>
                <w:color w:val="000000"/>
                <w:sz w:val="22"/>
                <w:szCs w:val="22"/>
              </w:rPr>
            </w:pPr>
            <w:r>
              <w:rPr>
                <w:color w:val="000000"/>
                <w:sz w:val="22"/>
                <w:szCs w:val="22"/>
              </w:rPr>
              <w:t>131.25</w:t>
            </w:r>
          </w:p>
        </w:tc>
        <w:tc>
          <w:tcPr>
            <w:tcW w:w="1134" w:type="dxa"/>
            <w:vAlign w:val="center"/>
          </w:tcPr>
          <w:p w:rsidR="00B7755A" w:rsidRDefault="00B7755A" w:rsidP="00B7755A">
            <w:pPr>
              <w:spacing w:after="0"/>
              <w:jc w:val="center"/>
              <w:rPr>
                <w:color w:val="000000"/>
                <w:sz w:val="22"/>
                <w:szCs w:val="22"/>
              </w:rPr>
            </w:pPr>
            <w:r>
              <w:rPr>
                <w:color w:val="000000"/>
                <w:sz w:val="22"/>
                <w:szCs w:val="22"/>
              </w:rPr>
              <w:t>-0.14049</w:t>
            </w:r>
          </w:p>
        </w:tc>
        <w:tc>
          <w:tcPr>
            <w:tcW w:w="1134" w:type="dxa"/>
            <w:vAlign w:val="center"/>
          </w:tcPr>
          <w:p w:rsidR="00B7755A" w:rsidRDefault="00B7755A" w:rsidP="00B7755A">
            <w:pPr>
              <w:spacing w:after="0"/>
              <w:jc w:val="center"/>
              <w:rPr>
                <w:color w:val="000000"/>
                <w:sz w:val="22"/>
                <w:szCs w:val="22"/>
              </w:rPr>
            </w:pPr>
            <w:r>
              <w:rPr>
                <w:color w:val="000000"/>
                <w:sz w:val="22"/>
                <w:szCs w:val="22"/>
              </w:rPr>
              <w:t>-0.25229</w:t>
            </w:r>
          </w:p>
        </w:tc>
        <w:tc>
          <w:tcPr>
            <w:tcW w:w="1155" w:type="dxa"/>
            <w:vAlign w:val="center"/>
          </w:tcPr>
          <w:p w:rsidR="00B7755A" w:rsidRDefault="00B7755A" w:rsidP="00B7755A">
            <w:pPr>
              <w:spacing w:after="0"/>
              <w:jc w:val="center"/>
              <w:rPr>
                <w:color w:val="000000"/>
                <w:sz w:val="22"/>
                <w:szCs w:val="22"/>
              </w:rPr>
            </w:pPr>
            <w:r>
              <w:rPr>
                <w:color w:val="000000"/>
                <w:sz w:val="22"/>
                <w:szCs w:val="22"/>
              </w:rPr>
              <w:t>112.4256</w:t>
            </w:r>
          </w:p>
        </w:tc>
        <w:tc>
          <w:tcPr>
            <w:tcW w:w="1416" w:type="dxa"/>
            <w:vAlign w:val="center"/>
          </w:tcPr>
          <w:p w:rsidR="00B7755A" w:rsidRDefault="00B7755A" w:rsidP="00B7755A">
            <w:pPr>
              <w:spacing w:after="0"/>
              <w:jc w:val="center"/>
              <w:rPr>
                <w:color w:val="000000"/>
                <w:sz w:val="22"/>
                <w:szCs w:val="22"/>
              </w:rPr>
            </w:pPr>
            <w:r>
              <w:rPr>
                <w:color w:val="000000"/>
                <w:sz w:val="22"/>
                <w:szCs w:val="22"/>
              </w:rPr>
              <w:t>89.0379</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4.78%</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0.10</w:t>
            </w:r>
          </w:p>
        </w:tc>
        <w:tc>
          <w:tcPr>
            <w:tcW w:w="1089" w:type="dxa"/>
            <w:vAlign w:val="center"/>
          </w:tcPr>
          <w:p w:rsidR="00B7755A" w:rsidRDefault="00B7755A" w:rsidP="00B7755A">
            <w:pPr>
              <w:spacing w:after="0"/>
              <w:jc w:val="center"/>
              <w:rPr>
                <w:color w:val="000000"/>
                <w:sz w:val="22"/>
                <w:szCs w:val="22"/>
              </w:rPr>
            </w:pPr>
            <w:r>
              <w:rPr>
                <w:color w:val="000000"/>
                <w:sz w:val="22"/>
                <w:szCs w:val="22"/>
              </w:rPr>
              <w:t>132.38</w:t>
            </w:r>
          </w:p>
        </w:tc>
        <w:tc>
          <w:tcPr>
            <w:tcW w:w="1134" w:type="dxa"/>
            <w:vAlign w:val="center"/>
          </w:tcPr>
          <w:p w:rsidR="00B7755A" w:rsidRDefault="00B7755A" w:rsidP="00B7755A">
            <w:pPr>
              <w:spacing w:after="0"/>
              <w:jc w:val="center"/>
              <w:rPr>
                <w:color w:val="000000"/>
                <w:sz w:val="22"/>
                <w:szCs w:val="22"/>
              </w:rPr>
            </w:pPr>
            <w:r>
              <w:rPr>
                <w:color w:val="000000"/>
                <w:sz w:val="22"/>
                <w:szCs w:val="22"/>
              </w:rPr>
              <w:t>-0.21683</w:t>
            </w:r>
          </w:p>
        </w:tc>
        <w:tc>
          <w:tcPr>
            <w:tcW w:w="1134" w:type="dxa"/>
            <w:vAlign w:val="center"/>
          </w:tcPr>
          <w:p w:rsidR="00B7755A" w:rsidRDefault="00B7755A" w:rsidP="00B7755A">
            <w:pPr>
              <w:spacing w:after="0"/>
              <w:jc w:val="center"/>
              <w:rPr>
                <w:color w:val="000000"/>
                <w:sz w:val="22"/>
                <w:szCs w:val="22"/>
              </w:rPr>
            </w:pPr>
            <w:r>
              <w:rPr>
                <w:color w:val="000000"/>
                <w:sz w:val="22"/>
                <w:szCs w:val="22"/>
              </w:rPr>
              <w:t>-0.32863</w:t>
            </w:r>
          </w:p>
        </w:tc>
        <w:tc>
          <w:tcPr>
            <w:tcW w:w="1155" w:type="dxa"/>
            <w:vAlign w:val="center"/>
          </w:tcPr>
          <w:p w:rsidR="00B7755A" w:rsidRDefault="00B7755A" w:rsidP="00B7755A">
            <w:pPr>
              <w:spacing w:after="0"/>
              <w:jc w:val="center"/>
              <w:rPr>
                <w:color w:val="000000"/>
                <w:sz w:val="22"/>
                <w:szCs w:val="22"/>
              </w:rPr>
            </w:pPr>
            <w:r>
              <w:rPr>
                <w:color w:val="000000"/>
                <w:sz w:val="22"/>
                <w:szCs w:val="22"/>
              </w:rPr>
              <w:t>113.2602</w:t>
            </w:r>
          </w:p>
        </w:tc>
        <w:tc>
          <w:tcPr>
            <w:tcW w:w="1416" w:type="dxa"/>
            <w:vAlign w:val="center"/>
          </w:tcPr>
          <w:p w:rsidR="00B7755A" w:rsidRDefault="00B7755A" w:rsidP="00B7755A">
            <w:pPr>
              <w:spacing w:after="0"/>
              <w:jc w:val="center"/>
              <w:rPr>
                <w:color w:val="000000"/>
                <w:sz w:val="22"/>
                <w:szCs w:val="22"/>
              </w:rPr>
            </w:pPr>
            <w:r>
              <w:rPr>
                <w:color w:val="000000"/>
                <w:sz w:val="22"/>
                <w:szCs w:val="22"/>
              </w:rPr>
              <w:t>89.6310</w:t>
            </w:r>
          </w:p>
        </w:tc>
        <w:tc>
          <w:tcPr>
            <w:tcW w:w="1060" w:type="dxa"/>
            <w:vAlign w:val="center"/>
          </w:tcPr>
          <w:p w:rsidR="00B7755A" w:rsidRDefault="00B7755A" w:rsidP="00B7755A">
            <w:pPr>
              <w:spacing w:after="0"/>
              <w:jc w:val="center"/>
              <w:rPr>
                <w:color w:val="000000"/>
                <w:sz w:val="22"/>
                <w:szCs w:val="22"/>
              </w:rPr>
            </w:pPr>
            <w:r>
              <w:rPr>
                <w:color w:val="000000"/>
                <w:sz w:val="22"/>
                <w:szCs w:val="22"/>
              </w:rPr>
              <w:t>1.26</w:t>
            </w:r>
          </w:p>
        </w:tc>
        <w:tc>
          <w:tcPr>
            <w:tcW w:w="1208" w:type="dxa"/>
            <w:vAlign w:val="center"/>
          </w:tcPr>
          <w:p w:rsidR="00B7755A" w:rsidRDefault="00B7755A" w:rsidP="00B7755A">
            <w:pPr>
              <w:spacing w:after="0"/>
              <w:jc w:val="center"/>
              <w:rPr>
                <w:color w:val="000000"/>
                <w:sz w:val="22"/>
                <w:szCs w:val="22"/>
              </w:rPr>
            </w:pPr>
            <w:r>
              <w:rPr>
                <w:color w:val="000000"/>
                <w:sz w:val="22"/>
                <w:szCs w:val="22"/>
              </w:rPr>
              <w:t>4.79%</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0.11</w:t>
            </w:r>
          </w:p>
        </w:tc>
        <w:tc>
          <w:tcPr>
            <w:tcW w:w="1089" w:type="dxa"/>
            <w:vAlign w:val="center"/>
          </w:tcPr>
          <w:p w:rsidR="00B7755A" w:rsidRDefault="00B7755A" w:rsidP="00B7755A">
            <w:pPr>
              <w:spacing w:after="0"/>
              <w:jc w:val="center"/>
              <w:rPr>
                <w:color w:val="000000"/>
                <w:sz w:val="22"/>
                <w:szCs w:val="22"/>
              </w:rPr>
            </w:pPr>
            <w:r>
              <w:rPr>
                <w:color w:val="000000"/>
                <w:sz w:val="22"/>
                <w:szCs w:val="22"/>
              </w:rPr>
              <w:t>133.53</w:t>
            </w:r>
          </w:p>
        </w:tc>
        <w:tc>
          <w:tcPr>
            <w:tcW w:w="1134" w:type="dxa"/>
            <w:vAlign w:val="center"/>
          </w:tcPr>
          <w:p w:rsidR="00B7755A" w:rsidRDefault="00B7755A" w:rsidP="00B7755A">
            <w:pPr>
              <w:spacing w:after="0"/>
              <w:jc w:val="center"/>
              <w:rPr>
                <w:color w:val="000000"/>
                <w:sz w:val="22"/>
                <w:szCs w:val="22"/>
              </w:rPr>
            </w:pPr>
            <w:r>
              <w:rPr>
                <w:color w:val="000000"/>
                <w:sz w:val="22"/>
                <w:szCs w:val="22"/>
              </w:rPr>
              <w:t>-0.29421</w:t>
            </w:r>
          </w:p>
        </w:tc>
        <w:tc>
          <w:tcPr>
            <w:tcW w:w="1134" w:type="dxa"/>
            <w:vAlign w:val="center"/>
          </w:tcPr>
          <w:p w:rsidR="00B7755A" w:rsidRDefault="00B7755A" w:rsidP="00B7755A">
            <w:pPr>
              <w:spacing w:after="0"/>
              <w:jc w:val="center"/>
              <w:rPr>
                <w:color w:val="000000"/>
                <w:sz w:val="22"/>
                <w:szCs w:val="22"/>
              </w:rPr>
            </w:pPr>
            <w:r>
              <w:rPr>
                <w:color w:val="000000"/>
                <w:sz w:val="22"/>
                <w:szCs w:val="22"/>
              </w:rPr>
              <w:t>-0.40602</w:t>
            </w:r>
          </w:p>
        </w:tc>
        <w:tc>
          <w:tcPr>
            <w:tcW w:w="1155" w:type="dxa"/>
            <w:vAlign w:val="center"/>
          </w:tcPr>
          <w:p w:rsidR="00B7755A" w:rsidRDefault="00B7755A" w:rsidP="00B7755A">
            <w:pPr>
              <w:spacing w:after="0"/>
              <w:jc w:val="center"/>
              <w:rPr>
                <w:color w:val="000000"/>
                <w:sz w:val="22"/>
                <w:szCs w:val="22"/>
              </w:rPr>
            </w:pPr>
            <w:r>
              <w:rPr>
                <w:color w:val="000000"/>
                <w:sz w:val="22"/>
                <w:szCs w:val="22"/>
              </w:rPr>
              <w:t>114.1291</w:t>
            </w:r>
          </w:p>
        </w:tc>
        <w:tc>
          <w:tcPr>
            <w:tcW w:w="1416" w:type="dxa"/>
            <w:vAlign w:val="center"/>
          </w:tcPr>
          <w:p w:rsidR="00B7755A" w:rsidRDefault="00B7755A" w:rsidP="00B7755A">
            <w:pPr>
              <w:spacing w:after="0"/>
              <w:jc w:val="center"/>
              <w:rPr>
                <w:color w:val="000000"/>
                <w:sz w:val="22"/>
                <w:szCs w:val="22"/>
              </w:rPr>
            </w:pPr>
            <w:r>
              <w:rPr>
                <w:color w:val="000000"/>
                <w:sz w:val="22"/>
                <w:szCs w:val="22"/>
              </w:rPr>
              <w:t>90.2153</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4.81%</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0.12</w:t>
            </w:r>
          </w:p>
        </w:tc>
        <w:tc>
          <w:tcPr>
            <w:tcW w:w="1089" w:type="dxa"/>
            <w:vAlign w:val="center"/>
          </w:tcPr>
          <w:p w:rsidR="00B7755A" w:rsidRDefault="00B7755A" w:rsidP="00B7755A">
            <w:pPr>
              <w:spacing w:after="0"/>
              <w:jc w:val="center"/>
              <w:rPr>
                <w:color w:val="000000"/>
                <w:sz w:val="22"/>
                <w:szCs w:val="22"/>
              </w:rPr>
            </w:pPr>
            <w:r>
              <w:rPr>
                <w:color w:val="000000"/>
                <w:sz w:val="22"/>
                <w:szCs w:val="22"/>
              </w:rPr>
              <w:t>134.70</w:t>
            </w:r>
          </w:p>
        </w:tc>
        <w:tc>
          <w:tcPr>
            <w:tcW w:w="1134" w:type="dxa"/>
            <w:vAlign w:val="center"/>
          </w:tcPr>
          <w:p w:rsidR="00B7755A" w:rsidRDefault="00B7755A" w:rsidP="00B7755A">
            <w:pPr>
              <w:spacing w:after="0"/>
              <w:jc w:val="center"/>
              <w:rPr>
                <w:color w:val="000000"/>
                <w:sz w:val="22"/>
                <w:szCs w:val="22"/>
              </w:rPr>
            </w:pPr>
            <w:r>
              <w:rPr>
                <w:color w:val="000000"/>
                <w:sz w:val="22"/>
                <w:szCs w:val="22"/>
              </w:rPr>
              <w:t>-0.37267</w:t>
            </w:r>
          </w:p>
        </w:tc>
        <w:tc>
          <w:tcPr>
            <w:tcW w:w="1134" w:type="dxa"/>
            <w:vAlign w:val="center"/>
          </w:tcPr>
          <w:p w:rsidR="00B7755A" w:rsidRDefault="00B7755A" w:rsidP="00B7755A">
            <w:pPr>
              <w:spacing w:after="0"/>
              <w:jc w:val="center"/>
              <w:rPr>
                <w:color w:val="000000"/>
                <w:sz w:val="22"/>
                <w:szCs w:val="22"/>
              </w:rPr>
            </w:pPr>
            <w:r>
              <w:rPr>
                <w:color w:val="000000"/>
                <w:sz w:val="22"/>
                <w:szCs w:val="22"/>
              </w:rPr>
              <w:t>-0.48448</w:t>
            </w:r>
          </w:p>
        </w:tc>
        <w:tc>
          <w:tcPr>
            <w:tcW w:w="1155" w:type="dxa"/>
            <w:vAlign w:val="center"/>
          </w:tcPr>
          <w:p w:rsidR="00B7755A" w:rsidRDefault="00B7755A" w:rsidP="00B7755A">
            <w:pPr>
              <w:spacing w:after="0"/>
              <w:jc w:val="center"/>
              <w:rPr>
                <w:color w:val="000000"/>
                <w:sz w:val="22"/>
                <w:szCs w:val="22"/>
              </w:rPr>
            </w:pPr>
            <w:r>
              <w:rPr>
                <w:color w:val="000000"/>
                <w:sz w:val="22"/>
                <w:szCs w:val="22"/>
              </w:rPr>
              <w:t>115.0331</w:t>
            </w:r>
          </w:p>
        </w:tc>
        <w:tc>
          <w:tcPr>
            <w:tcW w:w="1416" w:type="dxa"/>
            <w:vAlign w:val="center"/>
          </w:tcPr>
          <w:p w:rsidR="00B7755A" w:rsidRDefault="00B7755A" w:rsidP="00B7755A">
            <w:pPr>
              <w:spacing w:after="0"/>
              <w:jc w:val="center"/>
              <w:rPr>
                <w:color w:val="000000"/>
                <w:sz w:val="22"/>
                <w:szCs w:val="22"/>
              </w:rPr>
            </w:pPr>
            <w:r>
              <w:rPr>
                <w:color w:val="000000"/>
                <w:sz w:val="22"/>
                <w:szCs w:val="22"/>
              </w:rPr>
              <w:t>90.7895</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4.85%</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0.13</w:t>
            </w:r>
          </w:p>
        </w:tc>
        <w:tc>
          <w:tcPr>
            <w:tcW w:w="1089" w:type="dxa"/>
            <w:vAlign w:val="center"/>
          </w:tcPr>
          <w:p w:rsidR="00B7755A" w:rsidRDefault="00B7755A" w:rsidP="00B7755A">
            <w:pPr>
              <w:spacing w:after="0"/>
              <w:jc w:val="center"/>
              <w:rPr>
                <w:color w:val="000000"/>
                <w:sz w:val="22"/>
                <w:szCs w:val="22"/>
              </w:rPr>
            </w:pPr>
            <w:r>
              <w:rPr>
                <w:color w:val="000000"/>
                <w:sz w:val="22"/>
                <w:szCs w:val="22"/>
              </w:rPr>
              <w:t>135.91</w:t>
            </w:r>
          </w:p>
        </w:tc>
        <w:tc>
          <w:tcPr>
            <w:tcW w:w="1134" w:type="dxa"/>
            <w:vAlign w:val="center"/>
          </w:tcPr>
          <w:p w:rsidR="00B7755A" w:rsidRDefault="00B7755A" w:rsidP="00B7755A">
            <w:pPr>
              <w:spacing w:after="0"/>
              <w:jc w:val="center"/>
              <w:rPr>
                <w:color w:val="000000"/>
                <w:sz w:val="22"/>
                <w:szCs w:val="22"/>
              </w:rPr>
            </w:pPr>
            <w:r>
              <w:rPr>
                <w:color w:val="000000"/>
                <w:sz w:val="22"/>
                <w:szCs w:val="22"/>
              </w:rPr>
              <w:t>-0.45223</w:t>
            </w:r>
          </w:p>
        </w:tc>
        <w:tc>
          <w:tcPr>
            <w:tcW w:w="1134" w:type="dxa"/>
            <w:vAlign w:val="center"/>
          </w:tcPr>
          <w:p w:rsidR="00B7755A" w:rsidRDefault="00B7755A" w:rsidP="00B7755A">
            <w:pPr>
              <w:spacing w:after="0"/>
              <w:jc w:val="center"/>
              <w:rPr>
                <w:color w:val="000000"/>
                <w:sz w:val="22"/>
                <w:szCs w:val="22"/>
              </w:rPr>
            </w:pPr>
            <w:r>
              <w:rPr>
                <w:color w:val="000000"/>
                <w:sz w:val="22"/>
                <w:szCs w:val="22"/>
              </w:rPr>
              <w:t>-0.56403</w:t>
            </w:r>
          </w:p>
        </w:tc>
        <w:tc>
          <w:tcPr>
            <w:tcW w:w="1155" w:type="dxa"/>
            <w:vAlign w:val="center"/>
          </w:tcPr>
          <w:p w:rsidR="00B7755A" w:rsidRDefault="00B7755A" w:rsidP="00B7755A">
            <w:pPr>
              <w:spacing w:after="0"/>
              <w:jc w:val="center"/>
              <w:rPr>
                <w:color w:val="000000"/>
                <w:sz w:val="22"/>
                <w:szCs w:val="22"/>
              </w:rPr>
            </w:pPr>
            <w:r>
              <w:rPr>
                <w:color w:val="000000"/>
                <w:sz w:val="22"/>
                <w:szCs w:val="22"/>
              </w:rPr>
              <w:t>115.9730</w:t>
            </w:r>
          </w:p>
        </w:tc>
        <w:tc>
          <w:tcPr>
            <w:tcW w:w="1416" w:type="dxa"/>
            <w:vAlign w:val="center"/>
          </w:tcPr>
          <w:p w:rsidR="00B7755A" w:rsidRDefault="00B7755A" w:rsidP="00B7755A">
            <w:pPr>
              <w:spacing w:after="0"/>
              <w:jc w:val="center"/>
              <w:rPr>
                <w:color w:val="000000"/>
                <w:sz w:val="22"/>
                <w:szCs w:val="22"/>
              </w:rPr>
            </w:pPr>
            <w:r>
              <w:rPr>
                <w:color w:val="000000"/>
                <w:sz w:val="22"/>
                <w:szCs w:val="22"/>
              </w:rPr>
              <w:t>91.3519</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4.89%</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0.14</w:t>
            </w:r>
          </w:p>
        </w:tc>
        <w:tc>
          <w:tcPr>
            <w:tcW w:w="1089" w:type="dxa"/>
            <w:vAlign w:val="center"/>
          </w:tcPr>
          <w:p w:rsidR="00B7755A" w:rsidRDefault="00B7755A" w:rsidP="00B7755A">
            <w:pPr>
              <w:spacing w:after="0"/>
              <w:jc w:val="center"/>
              <w:rPr>
                <w:color w:val="000000"/>
                <w:sz w:val="22"/>
                <w:szCs w:val="22"/>
              </w:rPr>
            </w:pPr>
            <w:r>
              <w:rPr>
                <w:color w:val="000000"/>
                <w:sz w:val="22"/>
                <w:szCs w:val="22"/>
              </w:rPr>
              <w:t>137.14</w:t>
            </w:r>
          </w:p>
        </w:tc>
        <w:tc>
          <w:tcPr>
            <w:tcW w:w="1134" w:type="dxa"/>
            <w:vAlign w:val="center"/>
          </w:tcPr>
          <w:p w:rsidR="00B7755A" w:rsidRDefault="00B7755A" w:rsidP="00B7755A">
            <w:pPr>
              <w:spacing w:after="0"/>
              <w:jc w:val="center"/>
              <w:rPr>
                <w:color w:val="000000"/>
                <w:sz w:val="22"/>
                <w:szCs w:val="22"/>
              </w:rPr>
            </w:pPr>
            <w:r>
              <w:rPr>
                <w:color w:val="000000"/>
                <w:sz w:val="22"/>
                <w:szCs w:val="22"/>
              </w:rPr>
              <w:t>-0.53291</w:t>
            </w:r>
          </w:p>
        </w:tc>
        <w:tc>
          <w:tcPr>
            <w:tcW w:w="1134" w:type="dxa"/>
            <w:vAlign w:val="center"/>
          </w:tcPr>
          <w:p w:rsidR="00B7755A" w:rsidRDefault="00B7755A" w:rsidP="00B7755A">
            <w:pPr>
              <w:spacing w:after="0"/>
              <w:jc w:val="center"/>
              <w:rPr>
                <w:color w:val="000000"/>
                <w:sz w:val="22"/>
                <w:szCs w:val="22"/>
              </w:rPr>
            </w:pPr>
            <w:r>
              <w:rPr>
                <w:color w:val="000000"/>
                <w:sz w:val="22"/>
                <w:szCs w:val="22"/>
              </w:rPr>
              <w:t>-0.64471</w:t>
            </w:r>
          </w:p>
        </w:tc>
        <w:tc>
          <w:tcPr>
            <w:tcW w:w="1155" w:type="dxa"/>
            <w:vAlign w:val="center"/>
          </w:tcPr>
          <w:p w:rsidR="00B7755A" w:rsidRDefault="00B7755A" w:rsidP="00B7755A">
            <w:pPr>
              <w:spacing w:after="0"/>
              <w:jc w:val="center"/>
              <w:rPr>
                <w:color w:val="000000"/>
                <w:sz w:val="22"/>
                <w:szCs w:val="22"/>
              </w:rPr>
            </w:pPr>
            <w:r>
              <w:rPr>
                <w:color w:val="000000"/>
                <w:sz w:val="22"/>
                <w:szCs w:val="22"/>
              </w:rPr>
              <w:t>116.9496</w:t>
            </w:r>
          </w:p>
        </w:tc>
        <w:tc>
          <w:tcPr>
            <w:tcW w:w="1416" w:type="dxa"/>
            <w:vAlign w:val="center"/>
          </w:tcPr>
          <w:p w:rsidR="00B7755A" w:rsidRDefault="00B7755A" w:rsidP="00B7755A">
            <w:pPr>
              <w:spacing w:after="0"/>
              <w:jc w:val="center"/>
              <w:rPr>
                <w:color w:val="000000"/>
                <w:sz w:val="22"/>
                <w:szCs w:val="22"/>
              </w:rPr>
            </w:pPr>
            <w:r>
              <w:rPr>
                <w:color w:val="000000"/>
                <w:sz w:val="22"/>
                <w:szCs w:val="22"/>
              </w:rPr>
              <w:t>91.9010</w:t>
            </w:r>
          </w:p>
        </w:tc>
        <w:tc>
          <w:tcPr>
            <w:tcW w:w="1060" w:type="dxa"/>
            <w:vAlign w:val="center"/>
          </w:tcPr>
          <w:p w:rsidR="00B7755A" w:rsidRDefault="00B7755A" w:rsidP="00B7755A">
            <w:pPr>
              <w:spacing w:after="0"/>
              <w:jc w:val="center"/>
              <w:rPr>
                <w:color w:val="000000"/>
                <w:sz w:val="22"/>
                <w:szCs w:val="22"/>
              </w:rPr>
            </w:pPr>
            <w:r>
              <w:rPr>
                <w:color w:val="000000"/>
                <w:sz w:val="22"/>
                <w:szCs w:val="22"/>
              </w:rPr>
              <w:t>1.27</w:t>
            </w:r>
          </w:p>
        </w:tc>
        <w:tc>
          <w:tcPr>
            <w:tcW w:w="1208" w:type="dxa"/>
            <w:vAlign w:val="center"/>
          </w:tcPr>
          <w:p w:rsidR="00B7755A" w:rsidRDefault="00B7755A" w:rsidP="00B7755A">
            <w:pPr>
              <w:spacing w:after="0"/>
              <w:jc w:val="center"/>
              <w:rPr>
                <w:color w:val="000000"/>
                <w:sz w:val="22"/>
                <w:szCs w:val="22"/>
              </w:rPr>
            </w:pPr>
            <w:r>
              <w:rPr>
                <w:color w:val="000000"/>
                <w:sz w:val="22"/>
                <w:szCs w:val="22"/>
              </w:rPr>
              <w:t>4.94%</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0.15</w:t>
            </w:r>
          </w:p>
        </w:tc>
        <w:tc>
          <w:tcPr>
            <w:tcW w:w="1089" w:type="dxa"/>
            <w:vAlign w:val="center"/>
          </w:tcPr>
          <w:p w:rsidR="00B7755A" w:rsidRDefault="00B7755A" w:rsidP="00B7755A">
            <w:pPr>
              <w:spacing w:after="0"/>
              <w:jc w:val="center"/>
              <w:rPr>
                <w:color w:val="000000"/>
                <w:sz w:val="22"/>
                <w:szCs w:val="22"/>
              </w:rPr>
            </w:pPr>
            <w:r>
              <w:rPr>
                <w:color w:val="000000"/>
                <w:sz w:val="22"/>
                <w:szCs w:val="22"/>
              </w:rPr>
              <w:t>138.40</w:t>
            </w:r>
          </w:p>
        </w:tc>
        <w:tc>
          <w:tcPr>
            <w:tcW w:w="1134" w:type="dxa"/>
            <w:vAlign w:val="center"/>
          </w:tcPr>
          <w:p w:rsidR="00B7755A" w:rsidRDefault="00B7755A" w:rsidP="00B7755A">
            <w:pPr>
              <w:spacing w:after="0"/>
              <w:jc w:val="center"/>
              <w:rPr>
                <w:color w:val="000000"/>
                <w:sz w:val="22"/>
                <w:szCs w:val="22"/>
              </w:rPr>
            </w:pPr>
            <w:r>
              <w:rPr>
                <w:color w:val="000000"/>
                <w:sz w:val="22"/>
                <w:szCs w:val="22"/>
              </w:rPr>
              <w:t>-0.61474</w:t>
            </w:r>
          </w:p>
        </w:tc>
        <w:tc>
          <w:tcPr>
            <w:tcW w:w="1134" w:type="dxa"/>
            <w:vAlign w:val="center"/>
          </w:tcPr>
          <w:p w:rsidR="00B7755A" w:rsidRDefault="00B7755A" w:rsidP="00B7755A">
            <w:pPr>
              <w:spacing w:after="0"/>
              <w:jc w:val="center"/>
              <w:rPr>
                <w:color w:val="000000"/>
                <w:sz w:val="22"/>
                <w:szCs w:val="22"/>
              </w:rPr>
            </w:pPr>
            <w:r>
              <w:rPr>
                <w:color w:val="000000"/>
                <w:sz w:val="22"/>
                <w:szCs w:val="22"/>
              </w:rPr>
              <w:t>-0.72655</w:t>
            </w:r>
          </w:p>
        </w:tc>
        <w:tc>
          <w:tcPr>
            <w:tcW w:w="1155" w:type="dxa"/>
            <w:vAlign w:val="center"/>
          </w:tcPr>
          <w:p w:rsidR="00B7755A" w:rsidRDefault="00B7755A" w:rsidP="00B7755A">
            <w:pPr>
              <w:spacing w:after="0"/>
              <w:jc w:val="center"/>
              <w:rPr>
                <w:color w:val="000000"/>
                <w:sz w:val="22"/>
                <w:szCs w:val="22"/>
              </w:rPr>
            </w:pPr>
            <w:r>
              <w:rPr>
                <w:color w:val="000000"/>
                <w:sz w:val="22"/>
                <w:szCs w:val="22"/>
              </w:rPr>
              <w:t>117.9637</w:t>
            </w:r>
          </w:p>
        </w:tc>
        <w:tc>
          <w:tcPr>
            <w:tcW w:w="1416" w:type="dxa"/>
            <w:vAlign w:val="center"/>
          </w:tcPr>
          <w:p w:rsidR="00B7755A" w:rsidRDefault="00B7755A" w:rsidP="00B7755A">
            <w:pPr>
              <w:spacing w:after="0"/>
              <w:jc w:val="center"/>
              <w:rPr>
                <w:color w:val="000000"/>
                <w:sz w:val="22"/>
                <w:szCs w:val="22"/>
              </w:rPr>
            </w:pPr>
            <w:r>
              <w:rPr>
                <w:color w:val="000000"/>
                <w:sz w:val="22"/>
                <w:szCs w:val="22"/>
              </w:rPr>
              <w:t>92.4352</w:t>
            </w:r>
          </w:p>
        </w:tc>
        <w:tc>
          <w:tcPr>
            <w:tcW w:w="1060" w:type="dxa"/>
            <w:vAlign w:val="center"/>
          </w:tcPr>
          <w:p w:rsidR="00B7755A" w:rsidRDefault="00B7755A" w:rsidP="00B7755A">
            <w:pPr>
              <w:spacing w:after="0"/>
              <w:jc w:val="center"/>
              <w:rPr>
                <w:color w:val="000000"/>
                <w:sz w:val="22"/>
                <w:szCs w:val="22"/>
              </w:rPr>
            </w:pPr>
            <w:r>
              <w:rPr>
                <w:color w:val="000000"/>
                <w:sz w:val="22"/>
                <w:szCs w:val="22"/>
              </w:rPr>
              <w:t>1.28</w:t>
            </w:r>
          </w:p>
        </w:tc>
        <w:tc>
          <w:tcPr>
            <w:tcW w:w="1208" w:type="dxa"/>
            <w:vAlign w:val="center"/>
          </w:tcPr>
          <w:p w:rsidR="00B7755A" w:rsidRDefault="00B7755A" w:rsidP="00B7755A">
            <w:pPr>
              <w:spacing w:after="0"/>
              <w:jc w:val="center"/>
              <w:rPr>
                <w:color w:val="000000"/>
                <w:sz w:val="22"/>
                <w:szCs w:val="22"/>
              </w:rPr>
            </w:pPr>
            <w:r>
              <w:rPr>
                <w:color w:val="000000"/>
                <w:sz w:val="22"/>
                <w:szCs w:val="22"/>
              </w:rPr>
              <w:t>5.00%</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0.16</w:t>
            </w:r>
          </w:p>
        </w:tc>
        <w:tc>
          <w:tcPr>
            <w:tcW w:w="1089" w:type="dxa"/>
            <w:vAlign w:val="center"/>
          </w:tcPr>
          <w:p w:rsidR="00B7755A" w:rsidRDefault="00B7755A" w:rsidP="00B7755A">
            <w:pPr>
              <w:spacing w:after="0"/>
              <w:jc w:val="center"/>
              <w:rPr>
                <w:color w:val="000000"/>
                <w:sz w:val="22"/>
                <w:szCs w:val="22"/>
              </w:rPr>
            </w:pPr>
            <w:r>
              <w:rPr>
                <w:color w:val="000000"/>
                <w:sz w:val="22"/>
                <w:szCs w:val="22"/>
              </w:rPr>
              <w:t>139.69</w:t>
            </w:r>
          </w:p>
        </w:tc>
        <w:tc>
          <w:tcPr>
            <w:tcW w:w="1134" w:type="dxa"/>
            <w:vAlign w:val="center"/>
          </w:tcPr>
          <w:p w:rsidR="00B7755A" w:rsidRDefault="00B7755A" w:rsidP="00B7755A">
            <w:pPr>
              <w:spacing w:after="0"/>
              <w:jc w:val="center"/>
              <w:rPr>
                <w:color w:val="000000"/>
                <w:sz w:val="22"/>
                <w:szCs w:val="22"/>
              </w:rPr>
            </w:pPr>
            <w:r>
              <w:rPr>
                <w:color w:val="000000"/>
                <w:sz w:val="22"/>
                <w:szCs w:val="22"/>
              </w:rPr>
              <w:t>-0.69775</w:t>
            </w:r>
          </w:p>
        </w:tc>
        <w:tc>
          <w:tcPr>
            <w:tcW w:w="1134" w:type="dxa"/>
            <w:vAlign w:val="center"/>
          </w:tcPr>
          <w:p w:rsidR="00B7755A" w:rsidRDefault="00B7755A" w:rsidP="00B7755A">
            <w:pPr>
              <w:spacing w:after="0"/>
              <w:jc w:val="center"/>
              <w:rPr>
                <w:color w:val="000000"/>
                <w:sz w:val="22"/>
                <w:szCs w:val="22"/>
              </w:rPr>
            </w:pPr>
            <w:r>
              <w:rPr>
                <w:color w:val="000000"/>
                <w:sz w:val="22"/>
                <w:szCs w:val="22"/>
              </w:rPr>
              <w:t>-0.80956</w:t>
            </w:r>
          </w:p>
        </w:tc>
        <w:tc>
          <w:tcPr>
            <w:tcW w:w="1155" w:type="dxa"/>
            <w:vAlign w:val="center"/>
          </w:tcPr>
          <w:p w:rsidR="00B7755A" w:rsidRDefault="00B7755A" w:rsidP="00B7755A">
            <w:pPr>
              <w:spacing w:after="0"/>
              <w:jc w:val="center"/>
              <w:rPr>
                <w:color w:val="000000"/>
                <w:sz w:val="22"/>
                <w:szCs w:val="22"/>
              </w:rPr>
            </w:pPr>
            <w:r>
              <w:rPr>
                <w:color w:val="000000"/>
                <w:sz w:val="22"/>
                <w:szCs w:val="22"/>
              </w:rPr>
              <w:t>119.0161</w:t>
            </w:r>
          </w:p>
        </w:tc>
        <w:tc>
          <w:tcPr>
            <w:tcW w:w="1416" w:type="dxa"/>
            <w:vAlign w:val="center"/>
          </w:tcPr>
          <w:p w:rsidR="00B7755A" w:rsidRDefault="00B7755A" w:rsidP="00B7755A">
            <w:pPr>
              <w:spacing w:after="0"/>
              <w:jc w:val="center"/>
              <w:rPr>
                <w:color w:val="000000"/>
                <w:sz w:val="22"/>
                <w:szCs w:val="22"/>
              </w:rPr>
            </w:pPr>
            <w:r>
              <w:rPr>
                <w:color w:val="000000"/>
                <w:sz w:val="22"/>
                <w:szCs w:val="22"/>
              </w:rPr>
              <w:t>92.9528</w:t>
            </w:r>
          </w:p>
        </w:tc>
        <w:tc>
          <w:tcPr>
            <w:tcW w:w="1060" w:type="dxa"/>
            <w:vAlign w:val="center"/>
          </w:tcPr>
          <w:p w:rsidR="00B7755A" w:rsidRDefault="00B7755A" w:rsidP="00B7755A">
            <w:pPr>
              <w:spacing w:after="0"/>
              <w:jc w:val="center"/>
              <w:rPr>
                <w:color w:val="000000"/>
                <w:sz w:val="22"/>
                <w:szCs w:val="22"/>
              </w:rPr>
            </w:pPr>
            <w:r>
              <w:rPr>
                <w:color w:val="000000"/>
                <w:sz w:val="22"/>
                <w:szCs w:val="22"/>
              </w:rPr>
              <w:t>1.28</w:t>
            </w:r>
          </w:p>
        </w:tc>
        <w:tc>
          <w:tcPr>
            <w:tcW w:w="1208" w:type="dxa"/>
            <w:vAlign w:val="center"/>
          </w:tcPr>
          <w:p w:rsidR="00B7755A" w:rsidRDefault="00B7755A" w:rsidP="00B7755A">
            <w:pPr>
              <w:spacing w:after="0"/>
              <w:jc w:val="center"/>
              <w:rPr>
                <w:color w:val="000000"/>
                <w:sz w:val="22"/>
                <w:szCs w:val="22"/>
              </w:rPr>
            </w:pPr>
            <w:r>
              <w:rPr>
                <w:color w:val="000000"/>
                <w:sz w:val="22"/>
                <w:szCs w:val="22"/>
              </w:rPr>
              <w:t>5.07%</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0.17</w:t>
            </w:r>
          </w:p>
        </w:tc>
        <w:tc>
          <w:tcPr>
            <w:tcW w:w="1089" w:type="dxa"/>
            <w:vAlign w:val="center"/>
          </w:tcPr>
          <w:p w:rsidR="00B7755A" w:rsidRDefault="00B7755A" w:rsidP="00B7755A">
            <w:pPr>
              <w:spacing w:after="0"/>
              <w:jc w:val="center"/>
              <w:rPr>
                <w:color w:val="000000"/>
                <w:sz w:val="22"/>
                <w:szCs w:val="22"/>
              </w:rPr>
            </w:pPr>
            <w:r>
              <w:rPr>
                <w:color w:val="000000"/>
                <w:sz w:val="22"/>
                <w:szCs w:val="22"/>
              </w:rPr>
              <w:t>141.01</w:t>
            </w:r>
          </w:p>
        </w:tc>
        <w:tc>
          <w:tcPr>
            <w:tcW w:w="1134" w:type="dxa"/>
            <w:vAlign w:val="center"/>
          </w:tcPr>
          <w:p w:rsidR="00B7755A" w:rsidRDefault="00B7755A" w:rsidP="00B7755A">
            <w:pPr>
              <w:spacing w:after="0"/>
              <w:jc w:val="center"/>
              <w:rPr>
                <w:color w:val="000000"/>
                <w:sz w:val="22"/>
                <w:szCs w:val="22"/>
              </w:rPr>
            </w:pPr>
            <w:r>
              <w:rPr>
                <w:color w:val="000000"/>
                <w:sz w:val="22"/>
                <w:szCs w:val="22"/>
              </w:rPr>
              <w:t>-0.78198</w:t>
            </w:r>
          </w:p>
        </w:tc>
        <w:tc>
          <w:tcPr>
            <w:tcW w:w="1134" w:type="dxa"/>
            <w:vAlign w:val="center"/>
          </w:tcPr>
          <w:p w:rsidR="00B7755A" w:rsidRDefault="00B7755A" w:rsidP="00B7755A">
            <w:pPr>
              <w:spacing w:after="0"/>
              <w:jc w:val="center"/>
              <w:rPr>
                <w:color w:val="000000"/>
                <w:sz w:val="22"/>
                <w:szCs w:val="22"/>
              </w:rPr>
            </w:pPr>
            <w:r>
              <w:rPr>
                <w:color w:val="000000"/>
                <w:sz w:val="22"/>
                <w:szCs w:val="22"/>
              </w:rPr>
              <w:t>-0.89378</w:t>
            </w:r>
          </w:p>
        </w:tc>
        <w:tc>
          <w:tcPr>
            <w:tcW w:w="1155" w:type="dxa"/>
            <w:vAlign w:val="center"/>
          </w:tcPr>
          <w:p w:rsidR="00B7755A" w:rsidRDefault="00B7755A" w:rsidP="00B7755A">
            <w:pPr>
              <w:spacing w:after="0"/>
              <w:jc w:val="center"/>
              <w:rPr>
                <w:color w:val="000000"/>
                <w:sz w:val="22"/>
                <w:szCs w:val="22"/>
              </w:rPr>
            </w:pPr>
            <w:r>
              <w:rPr>
                <w:color w:val="000000"/>
                <w:sz w:val="22"/>
                <w:szCs w:val="22"/>
              </w:rPr>
              <w:t>120.1079</w:t>
            </w:r>
          </w:p>
        </w:tc>
        <w:tc>
          <w:tcPr>
            <w:tcW w:w="1416" w:type="dxa"/>
            <w:vAlign w:val="center"/>
          </w:tcPr>
          <w:p w:rsidR="00B7755A" w:rsidRDefault="00B7755A" w:rsidP="00B7755A">
            <w:pPr>
              <w:spacing w:after="0"/>
              <w:jc w:val="center"/>
              <w:rPr>
                <w:color w:val="000000"/>
                <w:sz w:val="22"/>
                <w:szCs w:val="22"/>
              </w:rPr>
            </w:pPr>
            <w:r>
              <w:rPr>
                <w:color w:val="000000"/>
                <w:sz w:val="22"/>
                <w:szCs w:val="22"/>
              </w:rPr>
              <w:t>93.4520</w:t>
            </w:r>
          </w:p>
        </w:tc>
        <w:tc>
          <w:tcPr>
            <w:tcW w:w="1060" w:type="dxa"/>
            <w:vAlign w:val="center"/>
          </w:tcPr>
          <w:p w:rsidR="00B7755A" w:rsidRDefault="00B7755A" w:rsidP="00B7755A">
            <w:pPr>
              <w:spacing w:after="0"/>
              <w:jc w:val="center"/>
              <w:rPr>
                <w:color w:val="000000"/>
                <w:sz w:val="22"/>
                <w:szCs w:val="22"/>
              </w:rPr>
            </w:pPr>
            <w:r>
              <w:rPr>
                <w:color w:val="000000"/>
                <w:sz w:val="22"/>
                <w:szCs w:val="22"/>
              </w:rPr>
              <w:t>1.29</w:t>
            </w:r>
          </w:p>
        </w:tc>
        <w:tc>
          <w:tcPr>
            <w:tcW w:w="1208" w:type="dxa"/>
            <w:vAlign w:val="center"/>
          </w:tcPr>
          <w:p w:rsidR="00B7755A" w:rsidRDefault="00B7755A" w:rsidP="00B7755A">
            <w:pPr>
              <w:spacing w:after="0"/>
              <w:jc w:val="center"/>
              <w:rPr>
                <w:color w:val="000000"/>
                <w:sz w:val="22"/>
                <w:szCs w:val="22"/>
              </w:rPr>
            </w:pPr>
            <w:r>
              <w:rPr>
                <w:color w:val="000000"/>
                <w:sz w:val="22"/>
                <w:szCs w:val="22"/>
              </w:rPr>
              <w:t>5.15%</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0.18</w:t>
            </w:r>
          </w:p>
        </w:tc>
        <w:tc>
          <w:tcPr>
            <w:tcW w:w="1089" w:type="dxa"/>
            <w:vAlign w:val="center"/>
          </w:tcPr>
          <w:p w:rsidR="00B7755A" w:rsidRDefault="00B7755A" w:rsidP="00B7755A">
            <w:pPr>
              <w:spacing w:after="0"/>
              <w:jc w:val="center"/>
              <w:rPr>
                <w:color w:val="000000"/>
                <w:sz w:val="22"/>
                <w:szCs w:val="22"/>
              </w:rPr>
            </w:pPr>
            <w:r>
              <w:rPr>
                <w:color w:val="000000"/>
                <w:sz w:val="22"/>
                <w:szCs w:val="22"/>
              </w:rPr>
              <w:t>142.37</w:t>
            </w:r>
          </w:p>
        </w:tc>
        <w:tc>
          <w:tcPr>
            <w:tcW w:w="1134" w:type="dxa"/>
            <w:vAlign w:val="center"/>
          </w:tcPr>
          <w:p w:rsidR="00B7755A" w:rsidRDefault="00B7755A" w:rsidP="00B7755A">
            <w:pPr>
              <w:spacing w:after="0"/>
              <w:jc w:val="center"/>
              <w:rPr>
                <w:color w:val="000000"/>
                <w:sz w:val="22"/>
                <w:szCs w:val="22"/>
              </w:rPr>
            </w:pPr>
            <w:r>
              <w:rPr>
                <w:color w:val="000000"/>
                <w:sz w:val="22"/>
                <w:szCs w:val="22"/>
              </w:rPr>
              <w:t>-0.86744</w:t>
            </w:r>
          </w:p>
        </w:tc>
        <w:tc>
          <w:tcPr>
            <w:tcW w:w="1134" w:type="dxa"/>
            <w:vAlign w:val="center"/>
          </w:tcPr>
          <w:p w:rsidR="00B7755A" w:rsidRDefault="00B7755A" w:rsidP="00B7755A">
            <w:pPr>
              <w:spacing w:after="0"/>
              <w:jc w:val="center"/>
              <w:rPr>
                <w:color w:val="000000"/>
                <w:sz w:val="22"/>
                <w:szCs w:val="22"/>
              </w:rPr>
            </w:pPr>
            <w:r>
              <w:rPr>
                <w:color w:val="000000"/>
                <w:sz w:val="22"/>
                <w:szCs w:val="22"/>
              </w:rPr>
              <w:t>-0.97924</w:t>
            </w:r>
          </w:p>
        </w:tc>
        <w:tc>
          <w:tcPr>
            <w:tcW w:w="1155" w:type="dxa"/>
            <w:vAlign w:val="center"/>
          </w:tcPr>
          <w:p w:rsidR="00B7755A" w:rsidRDefault="00B7755A" w:rsidP="00B7755A">
            <w:pPr>
              <w:spacing w:after="0"/>
              <w:jc w:val="center"/>
              <w:rPr>
                <w:color w:val="000000"/>
                <w:sz w:val="22"/>
                <w:szCs w:val="22"/>
              </w:rPr>
            </w:pPr>
            <w:r>
              <w:rPr>
                <w:color w:val="000000"/>
                <w:sz w:val="22"/>
                <w:szCs w:val="22"/>
              </w:rPr>
              <w:t>121.2399</w:t>
            </w:r>
          </w:p>
        </w:tc>
        <w:tc>
          <w:tcPr>
            <w:tcW w:w="1416" w:type="dxa"/>
            <w:vAlign w:val="center"/>
          </w:tcPr>
          <w:p w:rsidR="00B7755A" w:rsidRDefault="00B7755A" w:rsidP="00B7755A">
            <w:pPr>
              <w:spacing w:after="0"/>
              <w:jc w:val="center"/>
              <w:rPr>
                <w:color w:val="000000"/>
                <w:sz w:val="22"/>
                <w:szCs w:val="22"/>
              </w:rPr>
            </w:pPr>
            <w:r>
              <w:rPr>
                <w:color w:val="000000"/>
                <w:sz w:val="22"/>
                <w:szCs w:val="22"/>
              </w:rPr>
              <w:t>93.9313</w:t>
            </w:r>
          </w:p>
        </w:tc>
        <w:tc>
          <w:tcPr>
            <w:tcW w:w="1060" w:type="dxa"/>
            <w:vAlign w:val="center"/>
          </w:tcPr>
          <w:p w:rsidR="00B7755A" w:rsidRDefault="00B7755A" w:rsidP="00B7755A">
            <w:pPr>
              <w:spacing w:after="0"/>
              <w:jc w:val="center"/>
              <w:rPr>
                <w:color w:val="000000"/>
                <w:sz w:val="22"/>
                <w:szCs w:val="22"/>
              </w:rPr>
            </w:pPr>
            <w:r>
              <w:rPr>
                <w:color w:val="000000"/>
                <w:sz w:val="22"/>
                <w:szCs w:val="22"/>
              </w:rPr>
              <w:t>1.29</w:t>
            </w:r>
          </w:p>
        </w:tc>
        <w:tc>
          <w:tcPr>
            <w:tcW w:w="1208" w:type="dxa"/>
            <w:vAlign w:val="center"/>
          </w:tcPr>
          <w:p w:rsidR="00B7755A" w:rsidRDefault="00B7755A" w:rsidP="00B7755A">
            <w:pPr>
              <w:spacing w:after="0"/>
              <w:jc w:val="center"/>
              <w:rPr>
                <w:color w:val="000000"/>
                <w:sz w:val="22"/>
                <w:szCs w:val="22"/>
              </w:rPr>
            </w:pPr>
            <w:r>
              <w:rPr>
                <w:color w:val="000000"/>
                <w:sz w:val="22"/>
                <w:szCs w:val="22"/>
              </w:rPr>
              <w:t>5.24%</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0.19</w:t>
            </w:r>
          </w:p>
        </w:tc>
        <w:tc>
          <w:tcPr>
            <w:tcW w:w="1089" w:type="dxa"/>
            <w:vAlign w:val="center"/>
          </w:tcPr>
          <w:p w:rsidR="00B7755A" w:rsidRDefault="00B7755A" w:rsidP="00B7755A">
            <w:pPr>
              <w:spacing w:after="0"/>
              <w:jc w:val="center"/>
              <w:rPr>
                <w:color w:val="000000"/>
                <w:sz w:val="22"/>
                <w:szCs w:val="22"/>
              </w:rPr>
            </w:pPr>
            <w:r>
              <w:rPr>
                <w:color w:val="000000"/>
                <w:sz w:val="22"/>
                <w:szCs w:val="22"/>
              </w:rPr>
              <w:t>143.75</w:t>
            </w:r>
          </w:p>
        </w:tc>
        <w:tc>
          <w:tcPr>
            <w:tcW w:w="1134" w:type="dxa"/>
            <w:vAlign w:val="center"/>
          </w:tcPr>
          <w:p w:rsidR="00B7755A" w:rsidRDefault="00B7755A" w:rsidP="00B7755A">
            <w:pPr>
              <w:spacing w:after="0"/>
              <w:jc w:val="center"/>
              <w:rPr>
                <w:color w:val="000000"/>
                <w:sz w:val="22"/>
                <w:szCs w:val="22"/>
              </w:rPr>
            </w:pPr>
            <w:r>
              <w:rPr>
                <w:color w:val="000000"/>
                <w:sz w:val="22"/>
                <w:szCs w:val="22"/>
              </w:rPr>
              <w:t>-0.95417</w:t>
            </w:r>
          </w:p>
        </w:tc>
        <w:tc>
          <w:tcPr>
            <w:tcW w:w="1134" w:type="dxa"/>
            <w:vAlign w:val="center"/>
          </w:tcPr>
          <w:p w:rsidR="00B7755A" w:rsidRDefault="00B7755A" w:rsidP="00B7755A">
            <w:pPr>
              <w:spacing w:after="0"/>
              <w:jc w:val="center"/>
              <w:rPr>
                <w:color w:val="000000"/>
                <w:sz w:val="22"/>
                <w:szCs w:val="22"/>
              </w:rPr>
            </w:pPr>
            <w:r>
              <w:rPr>
                <w:color w:val="000000"/>
                <w:sz w:val="22"/>
                <w:szCs w:val="22"/>
              </w:rPr>
              <w:t>-1.06597</w:t>
            </w:r>
          </w:p>
        </w:tc>
        <w:tc>
          <w:tcPr>
            <w:tcW w:w="1155" w:type="dxa"/>
            <w:vAlign w:val="center"/>
          </w:tcPr>
          <w:p w:rsidR="00B7755A" w:rsidRDefault="00B7755A" w:rsidP="00B7755A">
            <w:pPr>
              <w:spacing w:after="0"/>
              <w:jc w:val="center"/>
              <w:rPr>
                <w:color w:val="000000"/>
                <w:sz w:val="22"/>
                <w:szCs w:val="22"/>
              </w:rPr>
            </w:pPr>
            <w:r>
              <w:rPr>
                <w:color w:val="000000"/>
                <w:sz w:val="22"/>
                <w:szCs w:val="22"/>
              </w:rPr>
              <w:t>122.4131</w:t>
            </w:r>
          </w:p>
        </w:tc>
        <w:tc>
          <w:tcPr>
            <w:tcW w:w="1416" w:type="dxa"/>
            <w:vAlign w:val="center"/>
          </w:tcPr>
          <w:p w:rsidR="00B7755A" w:rsidRDefault="00B7755A" w:rsidP="00B7755A">
            <w:pPr>
              <w:spacing w:after="0"/>
              <w:jc w:val="center"/>
              <w:rPr>
                <w:color w:val="000000"/>
                <w:sz w:val="22"/>
                <w:szCs w:val="22"/>
              </w:rPr>
            </w:pPr>
            <w:r>
              <w:rPr>
                <w:color w:val="000000"/>
                <w:sz w:val="22"/>
                <w:szCs w:val="22"/>
              </w:rPr>
              <w:t>94.3890</w:t>
            </w:r>
          </w:p>
        </w:tc>
        <w:tc>
          <w:tcPr>
            <w:tcW w:w="1060" w:type="dxa"/>
            <w:vAlign w:val="center"/>
          </w:tcPr>
          <w:p w:rsidR="00B7755A" w:rsidRDefault="00B7755A" w:rsidP="00B7755A">
            <w:pPr>
              <w:spacing w:after="0"/>
              <w:jc w:val="center"/>
              <w:rPr>
                <w:color w:val="000000"/>
                <w:sz w:val="22"/>
                <w:szCs w:val="22"/>
              </w:rPr>
            </w:pPr>
            <w:r>
              <w:rPr>
                <w:color w:val="000000"/>
                <w:sz w:val="22"/>
                <w:szCs w:val="22"/>
              </w:rPr>
              <w:t>1.30</w:t>
            </w:r>
          </w:p>
        </w:tc>
        <w:tc>
          <w:tcPr>
            <w:tcW w:w="1208" w:type="dxa"/>
            <w:vAlign w:val="center"/>
          </w:tcPr>
          <w:p w:rsidR="00B7755A" w:rsidRDefault="00B7755A" w:rsidP="00B7755A">
            <w:pPr>
              <w:spacing w:after="0"/>
              <w:jc w:val="center"/>
              <w:rPr>
                <w:color w:val="000000"/>
                <w:sz w:val="22"/>
                <w:szCs w:val="22"/>
              </w:rPr>
            </w:pPr>
            <w:r>
              <w:rPr>
                <w:color w:val="000000"/>
                <w:sz w:val="22"/>
                <w:szCs w:val="22"/>
              </w:rPr>
              <w:t>5.34%</w:t>
            </w:r>
          </w:p>
        </w:tc>
      </w:tr>
      <w:tr w:rsidR="00B7755A" w:rsidTr="00B7755A">
        <w:tc>
          <w:tcPr>
            <w:tcW w:w="1046" w:type="dxa"/>
            <w:vAlign w:val="center"/>
          </w:tcPr>
          <w:p w:rsidR="00B7755A" w:rsidRDefault="00B7755A" w:rsidP="00B7755A">
            <w:pPr>
              <w:spacing w:after="0"/>
              <w:jc w:val="center"/>
              <w:rPr>
                <w:color w:val="000000"/>
                <w:sz w:val="22"/>
                <w:szCs w:val="22"/>
              </w:rPr>
            </w:pPr>
            <w:r>
              <w:rPr>
                <w:color w:val="000000"/>
                <w:sz w:val="22"/>
                <w:szCs w:val="22"/>
              </w:rPr>
              <w:t>0.20</w:t>
            </w:r>
          </w:p>
        </w:tc>
        <w:tc>
          <w:tcPr>
            <w:tcW w:w="1089" w:type="dxa"/>
            <w:vAlign w:val="center"/>
          </w:tcPr>
          <w:p w:rsidR="00B7755A" w:rsidRDefault="00B7755A" w:rsidP="00B7755A">
            <w:pPr>
              <w:spacing w:after="0"/>
              <w:jc w:val="center"/>
              <w:rPr>
                <w:color w:val="000000"/>
                <w:sz w:val="22"/>
                <w:szCs w:val="22"/>
              </w:rPr>
            </w:pPr>
            <w:r>
              <w:rPr>
                <w:color w:val="000000"/>
                <w:sz w:val="22"/>
                <w:szCs w:val="22"/>
              </w:rPr>
              <w:t>145.18</w:t>
            </w:r>
          </w:p>
        </w:tc>
        <w:tc>
          <w:tcPr>
            <w:tcW w:w="1134" w:type="dxa"/>
            <w:vAlign w:val="center"/>
          </w:tcPr>
          <w:p w:rsidR="00B7755A" w:rsidRDefault="00B7755A" w:rsidP="00B7755A">
            <w:pPr>
              <w:spacing w:after="0"/>
              <w:jc w:val="center"/>
              <w:rPr>
                <w:color w:val="000000"/>
                <w:sz w:val="22"/>
                <w:szCs w:val="22"/>
              </w:rPr>
            </w:pPr>
            <w:r>
              <w:rPr>
                <w:color w:val="000000"/>
                <w:sz w:val="22"/>
                <w:szCs w:val="22"/>
              </w:rPr>
              <w:t>-1.04221</w:t>
            </w:r>
          </w:p>
        </w:tc>
        <w:tc>
          <w:tcPr>
            <w:tcW w:w="1134" w:type="dxa"/>
            <w:vAlign w:val="center"/>
          </w:tcPr>
          <w:p w:rsidR="00B7755A" w:rsidRDefault="00B7755A" w:rsidP="00B7755A">
            <w:pPr>
              <w:spacing w:after="0"/>
              <w:jc w:val="center"/>
              <w:rPr>
                <w:color w:val="000000"/>
                <w:sz w:val="22"/>
                <w:szCs w:val="22"/>
              </w:rPr>
            </w:pPr>
            <w:r>
              <w:rPr>
                <w:color w:val="000000"/>
                <w:sz w:val="22"/>
                <w:szCs w:val="22"/>
              </w:rPr>
              <w:t>-1.15401</w:t>
            </w:r>
          </w:p>
        </w:tc>
        <w:tc>
          <w:tcPr>
            <w:tcW w:w="1155" w:type="dxa"/>
            <w:vAlign w:val="center"/>
          </w:tcPr>
          <w:p w:rsidR="00B7755A" w:rsidRDefault="00B7755A" w:rsidP="00B7755A">
            <w:pPr>
              <w:spacing w:after="0"/>
              <w:jc w:val="center"/>
              <w:rPr>
                <w:color w:val="000000"/>
                <w:sz w:val="22"/>
                <w:szCs w:val="22"/>
              </w:rPr>
            </w:pPr>
            <w:r>
              <w:rPr>
                <w:color w:val="000000"/>
                <w:sz w:val="22"/>
                <w:szCs w:val="22"/>
              </w:rPr>
              <w:t>123.6286</w:t>
            </w:r>
          </w:p>
        </w:tc>
        <w:tc>
          <w:tcPr>
            <w:tcW w:w="1416" w:type="dxa"/>
            <w:vAlign w:val="center"/>
          </w:tcPr>
          <w:p w:rsidR="00B7755A" w:rsidRDefault="00B7755A" w:rsidP="00B7755A">
            <w:pPr>
              <w:spacing w:after="0"/>
              <w:jc w:val="center"/>
              <w:rPr>
                <w:color w:val="000000"/>
                <w:sz w:val="22"/>
                <w:szCs w:val="22"/>
              </w:rPr>
            </w:pPr>
            <w:r>
              <w:rPr>
                <w:color w:val="000000"/>
                <w:sz w:val="22"/>
                <w:szCs w:val="22"/>
              </w:rPr>
              <w:t>94.8236</w:t>
            </w:r>
          </w:p>
        </w:tc>
        <w:tc>
          <w:tcPr>
            <w:tcW w:w="1060" w:type="dxa"/>
            <w:vAlign w:val="center"/>
          </w:tcPr>
          <w:p w:rsidR="00B7755A" w:rsidRDefault="00B7755A" w:rsidP="00B7755A">
            <w:pPr>
              <w:spacing w:after="0"/>
              <w:jc w:val="center"/>
              <w:rPr>
                <w:color w:val="000000"/>
                <w:sz w:val="22"/>
                <w:szCs w:val="22"/>
              </w:rPr>
            </w:pPr>
            <w:r>
              <w:rPr>
                <w:color w:val="000000"/>
                <w:sz w:val="22"/>
                <w:szCs w:val="22"/>
              </w:rPr>
              <w:t>1.30</w:t>
            </w:r>
          </w:p>
        </w:tc>
        <w:tc>
          <w:tcPr>
            <w:tcW w:w="1208" w:type="dxa"/>
            <w:vAlign w:val="center"/>
          </w:tcPr>
          <w:p w:rsidR="00B7755A" w:rsidRDefault="00B7755A" w:rsidP="00B7755A">
            <w:pPr>
              <w:spacing w:after="0"/>
              <w:jc w:val="center"/>
              <w:rPr>
                <w:color w:val="000000"/>
                <w:sz w:val="22"/>
                <w:szCs w:val="22"/>
              </w:rPr>
            </w:pPr>
            <w:r>
              <w:rPr>
                <w:color w:val="000000"/>
                <w:sz w:val="22"/>
                <w:szCs w:val="22"/>
              </w:rPr>
              <w:t>5.45%</w:t>
            </w:r>
          </w:p>
        </w:tc>
      </w:tr>
    </w:tbl>
    <w:p w:rsidR="00B7755A" w:rsidRPr="00DB620E" w:rsidRDefault="00B7755A" w:rsidP="00B7755A">
      <w:pPr>
        <w:pStyle w:val="Caption"/>
        <w:rPr>
          <w:sz w:val="24"/>
          <w:szCs w:val="24"/>
        </w:rPr>
      </w:pPr>
      <w:r>
        <w:t xml:space="preserve">Table </w:t>
      </w:r>
      <w:r w:rsidR="004F00F3">
        <w:fldChar w:fldCharType="begin"/>
      </w:r>
      <w:r w:rsidR="004F00F3">
        <w:instrText xml:space="preserve"> SEQ Table \* ARABIC </w:instrText>
      </w:r>
      <w:r w:rsidR="004F00F3">
        <w:fldChar w:fldCharType="separate"/>
      </w:r>
      <w:r w:rsidR="00203FC7">
        <w:rPr>
          <w:noProof/>
        </w:rPr>
        <w:t>1</w:t>
      </w:r>
      <w:r w:rsidR="004F00F3">
        <w:rPr>
          <w:noProof/>
        </w:rPr>
        <w:fldChar w:fldCharType="end"/>
      </w:r>
      <w:r>
        <w:t xml:space="preserve">: Expected prices of value and glamour stocks for various threshold values of E/P </w:t>
      </w:r>
      <w:r w:rsidRPr="00B7755A">
        <w:rPr>
          <w:i/>
        </w:rPr>
        <w:t>a</w:t>
      </w:r>
      <w:r>
        <w:t>. Assumptions are that debt is 30% of company value</w:t>
      </w:r>
      <w:r w:rsidR="00CD1178">
        <w:t xml:space="preserve">, company value at time 0 = </w:t>
      </w:r>
      <w:r>
        <w:t xml:space="preserve">100, </w:t>
      </w:r>
      <w:r w:rsidRPr="00B7755A">
        <w:rPr>
          <w:i/>
        </w:rPr>
        <w:t>r</w:t>
      </w:r>
      <w:r>
        <w:t>=4%, µ (drift rate)=5%, σ (annual volatility)=5%, T (company life) = 5 years.</w:t>
      </w:r>
    </w:p>
    <w:p w:rsidR="006130D9" w:rsidRDefault="006130D9">
      <w:pPr>
        <w:spacing w:after="0" w:line="240" w:lineRule="auto"/>
        <w:rPr>
          <w:b/>
          <w:sz w:val="24"/>
          <w:szCs w:val="24"/>
        </w:rPr>
        <w:sectPr w:rsidR="006130D9" w:rsidSect="00E026FD">
          <w:pgSz w:w="11906" w:h="16838"/>
          <w:pgMar w:top="1440" w:right="1440" w:bottom="1440" w:left="1440" w:header="709" w:footer="709" w:gutter="0"/>
          <w:cols w:space="708"/>
          <w:docGrid w:linePitch="360"/>
        </w:sectPr>
      </w:pPr>
    </w:p>
    <w:p w:rsidR="006130D9" w:rsidRDefault="006130D9">
      <w:pPr>
        <w:spacing w:after="0" w:line="240" w:lineRule="auto"/>
        <w:rPr>
          <w:b/>
          <w:sz w:val="24"/>
          <w:szCs w:val="24"/>
        </w:rPr>
      </w:pPr>
      <w:r>
        <w:rPr>
          <w:b/>
          <w:sz w:val="24"/>
          <w:szCs w:val="24"/>
        </w:rPr>
        <w:lastRenderedPageBreak/>
        <w:t xml:space="preserve">Table </w:t>
      </w:r>
      <w:r w:rsidR="00CD1178">
        <w:rPr>
          <w:b/>
          <w:sz w:val="24"/>
          <w:szCs w:val="24"/>
        </w:rPr>
        <w:t>2</w:t>
      </w:r>
    </w:p>
    <w:tbl>
      <w:tblPr>
        <w:tblStyle w:val="TableGrid"/>
        <w:tblW w:w="0" w:type="auto"/>
        <w:tblLook w:val="04A0" w:firstRow="1" w:lastRow="0" w:firstColumn="1" w:lastColumn="0" w:noHBand="0" w:noVBand="1"/>
      </w:tblPr>
      <w:tblGrid>
        <w:gridCol w:w="517"/>
        <w:gridCol w:w="784"/>
        <w:gridCol w:w="443"/>
        <w:gridCol w:w="732"/>
        <w:gridCol w:w="757"/>
        <w:gridCol w:w="717"/>
        <w:gridCol w:w="717"/>
        <w:gridCol w:w="717"/>
        <w:gridCol w:w="757"/>
        <w:gridCol w:w="783"/>
        <w:gridCol w:w="717"/>
        <w:gridCol w:w="717"/>
        <w:gridCol w:w="717"/>
        <w:gridCol w:w="717"/>
        <w:gridCol w:w="717"/>
        <w:gridCol w:w="717"/>
        <w:gridCol w:w="717"/>
        <w:gridCol w:w="717"/>
        <w:gridCol w:w="717"/>
        <w:gridCol w:w="797"/>
      </w:tblGrid>
      <w:tr w:rsidR="00345499" w:rsidRPr="00AA6F50" w:rsidTr="00345499">
        <w:tc>
          <w:tcPr>
            <w:tcW w:w="517" w:type="dxa"/>
          </w:tcPr>
          <w:p w:rsidR="00345499" w:rsidRPr="00A42957" w:rsidRDefault="00345499">
            <w:pPr>
              <w:spacing w:after="0" w:line="240" w:lineRule="auto"/>
              <w:rPr>
                <w:b/>
                <w:sz w:val="16"/>
                <w:szCs w:val="24"/>
              </w:rPr>
            </w:pPr>
          </w:p>
        </w:tc>
        <w:tc>
          <w:tcPr>
            <w:tcW w:w="12860" w:type="dxa"/>
            <w:gridSpan w:val="18"/>
            <w:vAlign w:val="center"/>
          </w:tcPr>
          <w:p w:rsidR="00345499" w:rsidRPr="00A42957" w:rsidRDefault="00345499" w:rsidP="00345499">
            <w:pPr>
              <w:spacing w:after="0" w:line="240" w:lineRule="auto"/>
              <w:jc w:val="center"/>
              <w:rPr>
                <w:b/>
                <w:sz w:val="16"/>
                <w:szCs w:val="24"/>
              </w:rPr>
            </w:pPr>
            <w:r w:rsidRPr="00A42957">
              <w:rPr>
                <w:b/>
                <w:sz w:val="16"/>
                <w:szCs w:val="24"/>
              </w:rPr>
              <w:t>Year2</w:t>
            </w:r>
          </w:p>
        </w:tc>
        <w:tc>
          <w:tcPr>
            <w:tcW w:w="797" w:type="dxa"/>
          </w:tcPr>
          <w:p w:rsidR="00345499" w:rsidRPr="00A42957" w:rsidRDefault="00345499">
            <w:pPr>
              <w:spacing w:after="0" w:line="240" w:lineRule="auto"/>
              <w:rPr>
                <w:b/>
                <w:sz w:val="16"/>
                <w:szCs w:val="24"/>
              </w:rPr>
            </w:pPr>
          </w:p>
        </w:tc>
      </w:tr>
      <w:tr w:rsidR="00345499" w:rsidRPr="00AA6F50" w:rsidTr="003B6715">
        <w:tc>
          <w:tcPr>
            <w:tcW w:w="517" w:type="dxa"/>
            <w:vMerge w:val="restart"/>
            <w:textDirection w:val="btLr"/>
            <w:vAlign w:val="center"/>
          </w:tcPr>
          <w:p w:rsidR="00345499" w:rsidRPr="00A42957" w:rsidRDefault="00345499" w:rsidP="00345499">
            <w:pPr>
              <w:spacing w:after="0"/>
              <w:ind w:left="113" w:right="113"/>
              <w:jc w:val="center"/>
              <w:rPr>
                <w:b/>
                <w:sz w:val="16"/>
                <w:szCs w:val="24"/>
              </w:rPr>
            </w:pPr>
            <w:r w:rsidRPr="00A42957">
              <w:rPr>
                <w:b/>
                <w:sz w:val="16"/>
                <w:szCs w:val="24"/>
              </w:rPr>
              <w:t>Year 1</w:t>
            </w:r>
          </w:p>
        </w:tc>
        <w:tc>
          <w:tcPr>
            <w:tcW w:w="784" w:type="dxa"/>
            <w:shd w:val="clear" w:color="auto" w:fill="auto"/>
            <w:vAlign w:val="center"/>
          </w:tcPr>
          <w:p w:rsidR="00345499" w:rsidRPr="00A42957" w:rsidRDefault="00345499" w:rsidP="003B4E33">
            <w:pPr>
              <w:spacing w:beforeLines="40" w:before="96" w:afterLines="40" w:after="96" w:line="240" w:lineRule="auto"/>
              <w:jc w:val="center"/>
              <w:rPr>
                <w:b/>
                <w:sz w:val="16"/>
                <w:szCs w:val="24"/>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roofErr w:type="spellStart"/>
            <w:r w:rsidRPr="00A42957">
              <w:rPr>
                <w:color w:val="000000"/>
                <w:sz w:val="16"/>
                <w:szCs w:val="22"/>
              </w:rPr>
              <w:t>NoEP</w:t>
            </w:r>
            <w:proofErr w:type="spellEnd"/>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LoserQ1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LoserQ5</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Glamour</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Value</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r>
      <w:tr w:rsidR="00345499" w:rsidRPr="00AA6F50" w:rsidTr="003B6715">
        <w:tc>
          <w:tcPr>
            <w:tcW w:w="517" w:type="dxa"/>
            <w:vMerge/>
          </w:tcPr>
          <w:p w:rsidR="00345499" w:rsidRPr="00A42957" w:rsidRDefault="00345499" w:rsidP="00A42957">
            <w:pPr>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b/>
                <w:sz w:val="16"/>
                <w:szCs w:val="24"/>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04</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05</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Sum</w:t>
            </w:r>
          </w:p>
        </w:tc>
      </w:tr>
      <w:tr w:rsidR="00345499" w:rsidRPr="00AA6F50" w:rsidTr="003B6715">
        <w:tc>
          <w:tcPr>
            <w:tcW w:w="517" w:type="dxa"/>
            <w:vMerge/>
          </w:tcPr>
          <w:p w:rsidR="00345499" w:rsidRPr="00A42957" w:rsidRDefault="00345499" w:rsidP="00A42957">
            <w:pPr>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LoserQ1</w:t>
            </w: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01</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27.11%</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31.84%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13.58%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6.76%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4.06%</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2.36%</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2.07%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0.86%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0.93%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0.84%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0.55%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3.82%</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rsidP="00A42957">
            <w:pPr>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02</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11.58%</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20.95%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19.47%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13.79%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9.59%</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5.16%</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3.85%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2.85%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3.03%</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rsidP="00A42957">
            <w:pPr>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03</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7.55%</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12.15%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17.15%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18.07%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13.76%</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7.93%</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5.48%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3.36%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2.31%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1.69%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2.49%</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rsidP="00A42957">
            <w:pPr>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04</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6.27%</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6.57%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11.34%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15.71%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18.12%</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12.58%</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7.30%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4.45%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2.64%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1.81%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2.42%</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rsidP="00A42957">
            <w:pPr>
              <w:rPr>
                <w:b/>
                <w:sz w:val="16"/>
                <w:szCs w:val="24"/>
              </w:rPr>
            </w:pPr>
          </w:p>
        </w:tc>
        <w:tc>
          <w:tcPr>
            <w:tcW w:w="784"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LoserQ5</w:t>
            </w:r>
          </w:p>
        </w:tc>
        <w:tc>
          <w:tcPr>
            <w:tcW w:w="443"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05</w:t>
            </w:r>
          </w:p>
        </w:tc>
        <w:tc>
          <w:tcPr>
            <w:tcW w:w="732"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5.92%</w:t>
            </w:r>
          </w:p>
        </w:tc>
        <w:tc>
          <w:tcPr>
            <w:tcW w:w="75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4.04%</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6.65%</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8.92%</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12.94%</w:t>
            </w:r>
          </w:p>
        </w:tc>
        <w:tc>
          <w:tcPr>
            <w:tcW w:w="75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19.38%</w:t>
            </w:r>
          </w:p>
        </w:tc>
        <w:tc>
          <w:tcPr>
            <w:tcW w:w="783"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13.47%</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6.89%</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4.32%</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3.97%</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2.56%</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2.53%</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2.45%</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1.92%</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1.81%</w:t>
            </w:r>
          </w:p>
        </w:tc>
        <w:tc>
          <w:tcPr>
            <w:tcW w:w="71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2.24%</w:t>
            </w:r>
          </w:p>
        </w:tc>
        <w:tc>
          <w:tcPr>
            <w:tcW w:w="797" w:type="dxa"/>
            <w:tcBorders>
              <w:bottom w:val="single" w:sz="4" w:space="0" w:color="000000"/>
            </w:tcBorders>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Glamour</w:t>
            </w: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06</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5.82%</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2.92%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4.49%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5.14%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5.82%</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9.66%</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18.43%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13.96%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8.84%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6.11%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4.14%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3.00%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2.91%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2.90%</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07</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4.84%</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2.29%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2.84%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3.49%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3.34%</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5.28%</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10.23%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18.22%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14.50%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9.78%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6.54%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5.24%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4.24%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3.60%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2.97%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2.59%</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08</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4.84%</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2.00%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2.68%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4.18%</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5.51%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11.28%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16.64%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14.18%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10.22%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7.27%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5.98%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4.10%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3.63%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2.83%</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09</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4.58%</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1.82%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2.26%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2.70%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3.50%</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4.34%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6.72%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12.25%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14.54%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13.89%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11.03%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7.74%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5.65%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4.72%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3.11%</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4.57%</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1.61%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2.18%</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2.70%</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4.88%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7.91%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12.75%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15.73%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13.83%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10.97%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8.02%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5.64%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3.17%</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4.26%</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1.66%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2.30%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2.49%</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4.17%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5.68%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8.85%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13.03%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14.89%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13.88%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11.05%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7.49%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4.05%</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12</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4.18%</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2.31%</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2.79%</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2.87%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4.49%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6.04%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9.69%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13.06%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15.81%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14.87%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10.23%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5.46%</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4.75%</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1.77%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1.96%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2.40%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3.05%</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3.51%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4.90%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6.60%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9.51%</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13.96%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17.30%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15.10%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7.26%</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4.52%</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2.15%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2.63%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2.66%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3.10%</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3.20%</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2.90%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2.83%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2.78%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3.59%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4.49%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5.69%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8.76%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15.20%</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21.39%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14.12%</w:t>
            </w:r>
          </w:p>
        </w:tc>
        <w:tc>
          <w:tcPr>
            <w:tcW w:w="79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100.00%</w:t>
            </w:r>
          </w:p>
        </w:tc>
      </w:tr>
      <w:tr w:rsidR="00345499" w:rsidRPr="00AA6F50" w:rsidTr="003B6715">
        <w:tc>
          <w:tcPr>
            <w:tcW w:w="517" w:type="dxa"/>
            <w:vMerge/>
          </w:tcPr>
          <w:p w:rsidR="00345499" w:rsidRPr="00A42957" w:rsidRDefault="00345499">
            <w:pPr>
              <w:spacing w:after="0" w:line="240" w:lineRule="auto"/>
              <w:rPr>
                <w:b/>
                <w:sz w:val="16"/>
                <w:szCs w:val="24"/>
              </w:rPr>
            </w:pPr>
          </w:p>
        </w:tc>
        <w:tc>
          <w:tcPr>
            <w:tcW w:w="784"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Value</w:t>
            </w:r>
          </w:p>
        </w:tc>
        <w:tc>
          <w:tcPr>
            <w:tcW w:w="44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15</w:t>
            </w:r>
          </w:p>
        </w:tc>
        <w:tc>
          <w:tcPr>
            <w:tcW w:w="732"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5.98%</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5.43%</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4.09%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3.37%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3.32%</w:t>
            </w:r>
          </w:p>
        </w:tc>
        <w:tc>
          <w:tcPr>
            <w:tcW w:w="75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3.20%</w:t>
            </w:r>
          </w:p>
        </w:tc>
        <w:tc>
          <w:tcPr>
            <w:tcW w:w="783"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3.14%</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2.28%</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2.55%</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2.12%</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3.36%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4.39%</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6.57%</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color w:val="000000"/>
                <w:sz w:val="16"/>
                <w:szCs w:val="22"/>
              </w:rPr>
            </w:pPr>
            <w:r w:rsidRPr="00A42957">
              <w:rPr>
                <w:color w:val="000000"/>
                <w:sz w:val="16"/>
                <w:szCs w:val="22"/>
              </w:rPr>
              <w:t>13.36%</w:t>
            </w:r>
          </w:p>
        </w:tc>
        <w:tc>
          <w:tcPr>
            <w:tcW w:w="717" w:type="dxa"/>
            <w:shd w:val="clear" w:color="auto" w:fill="auto"/>
            <w:vAlign w:val="center"/>
          </w:tcPr>
          <w:p w:rsidR="00345499" w:rsidRPr="00A42957" w:rsidRDefault="00345499" w:rsidP="003B4E33">
            <w:pPr>
              <w:spacing w:beforeLines="40" w:before="96" w:afterLines="40" w:after="96" w:line="240" w:lineRule="auto"/>
              <w:jc w:val="center"/>
              <w:rPr>
                <w:b/>
                <w:bCs/>
                <w:color w:val="000000"/>
                <w:sz w:val="16"/>
                <w:szCs w:val="22"/>
              </w:rPr>
            </w:pPr>
            <w:r w:rsidRPr="00A42957">
              <w:rPr>
                <w:b/>
                <w:bCs/>
                <w:color w:val="000000"/>
                <w:sz w:val="16"/>
                <w:szCs w:val="22"/>
              </w:rPr>
              <w:t>34.34%</w:t>
            </w:r>
          </w:p>
        </w:tc>
        <w:tc>
          <w:tcPr>
            <w:tcW w:w="797" w:type="dxa"/>
            <w:shd w:val="clear" w:color="auto" w:fill="auto"/>
            <w:vAlign w:val="center"/>
          </w:tcPr>
          <w:p w:rsidR="00345499" w:rsidRPr="00A42957" w:rsidRDefault="00345499" w:rsidP="003B4E33">
            <w:pPr>
              <w:keepNext/>
              <w:spacing w:beforeLines="40" w:before="96" w:afterLines="40" w:after="96" w:line="240" w:lineRule="auto"/>
              <w:jc w:val="center"/>
              <w:rPr>
                <w:color w:val="000000"/>
                <w:sz w:val="16"/>
                <w:szCs w:val="22"/>
              </w:rPr>
            </w:pPr>
            <w:r w:rsidRPr="00A42957">
              <w:rPr>
                <w:color w:val="000000"/>
                <w:sz w:val="16"/>
                <w:szCs w:val="22"/>
              </w:rPr>
              <w:t>100.00%</w:t>
            </w:r>
          </w:p>
        </w:tc>
      </w:tr>
    </w:tbl>
    <w:p w:rsidR="006130D9" w:rsidRDefault="008C0CCE" w:rsidP="008C0CCE">
      <w:pPr>
        <w:pStyle w:val="Caption"/>
        <w:rPr>
          <w:b w:val="0"/>
          <w:sz w:val="24"/>
          <w:szCs w:val="24"/>
        </w:rPr>
      </w:pPr>
      <w:r>
        <w:t xml:space="preserve">Table </w:t>
      </w:r>
      <w:r w:rsidR="004F00F3">
        <w:fldChar w:fldCharType="begin"/>
      </w:r>
      <w:r w:rsidR="004F00F3">
        <w:instrText xml:space="preserve"> SEQ Table \* ARABIC </w:instrText>
      </w:r>
      <w:r w:rsidR="004F00F3">
        <w:fldChar w:fldCharType="separate"/>
      </w:r>
      <w:r w:rsidR="00203FC7">
        <w:rPr>
          <w:noProof/>
        </w:rPr>
        <w:t>2</w:t>
      </w:r>
      <w:r w:rsidR="004F00F3">
        <w:rPr>
          <w:noProof/>
        </w:rPr>
        <w:fldChar w:fldCharType="end"/>
      </w:r>
      <w:r>
        <w:t xml:space="preserve">: </w:t>
      </w:r>
      <w:r w:rsidR="00A42957">
        <w:t>Transition probabilities between E</w:t>
      </w:r>
      <w:r>
        <w:t>/P deciles, all US companies 1983-2009</w:t>
      </w:r>
    </w:p>
    <w:p w:rsidR="00A42957" w:rsidRDefault="00A42957">
      <w:pPr>
        <w:spacing w:after="0" w:line="240" w:lineRule="auto"/>
        <w:rPr>
          <w:b/>
          <w:sz w:val="24"/>
          <w:szCs w:val="24"/>
        </w:rPr>
      </w:pPr>
      <w:r>
        <w:rPr>
          <w:b/>
          <w:sz w:val="24"/>
          <w:szCs w:val="24"/>
        </w:rPr>
        <w:br w:type="page"/>
      </w:r>
    </w:p>
    <w:p w:rsidR="00A42957" w:rsidRDefault="00A42957" w:rsidP="00A42957">
      <w:pPr>
        <w:spacing w:after="0" w:line="240" w:lineRule="auto"/>
        <w:rPr>
          <w:b/>
          <w:sz w:val="24"/>
          <w:szCs w:val="24"/>
        </w:rPr>
      </w:pPr>
      <w:r>
        <w:rPr>
          <w:b/>
          <w:sz w:val="24"/>
          <w:szCs w:val="24"/>
        </w:rPr>
        <w:lastRenderedPageBreak/>
        <w:t xml:space="preserve">Table </w:t>
      </w:r>
      <w:r w:rsidR="00CD1178">
        <w:rPr>
          <w:b/>
          <w:sz w:val="24"/>
          <w:szCs w:val="24"/>
        </w:rPr>
        <w:t>3</w:t>
      </w:r>
    </w:p>
    <w:tbl>
      <w:tblPr>
        <w:tblStyle w:val="TableGrid"/>
        <w:tblW w:w="14389" w:type="dxa"/>
        <w:tblLook w:val="04A0" w:firstRow="1" w:lastRow="0" w:firstColumn="1" w:lastColumn="0" w:noHBand="0" w:noVBand="1"/>
      </w:tblPr>
      <w:tblGrid>
        <w:gridCol w:w="590"/>
        <w:gridCol w:w="784"/>
        <w:gridCol w:w="412"/>
        <w:gridCol w:w="786"/>
        <w:gridCol w:w="791"/>
        <w:gridCol w:w="785"/>
        <w:gridCol w:w="785"/>
        <w:gridCol w:w="792"/>
        <w:gridCol w:w="792"/>
        <w:gridCol w:w="793"/>
        <w:gridCol w:w="785"/>
        <w:gridCol w:w="792"/>
        <w:gridCol w:w="792"/>
        <w:gridCol w:w="785"/>
        <w:gridCol w:w="785"/>
        <w:gridCol w:w="785"/>
        <w:gridCol w:w="785"/>
        <w:gridCol w:w="785"/>
        <w:gridCol w:w="785"/>
      </w:tblGrid>
      <w:tr w:rsidR="003B6715" w:rsidRPr="00AA6F50" w:rsidTr="003B6715">
        <w:trPr>
          <w:trHeight w:val="649"/>
        </w:trPr>
        <w:tc>
          <w:tcPr>
            <w:tcW w:w="590" w:type="dxa"/>
            <w:textDirection w:val="btLr"/>
            <w:vAlign w:val="center"/>
          </w:tcPr>
          <w:p w:rsidR="003B6715" w:rsidRDefault="003B6715" w:rsidP="003B4E33">
            <w:pPr>
              <w:spacing w:before="40" w:afterLines="40" w:after="96"/>
              <w:ind w:left="113" w:right="113"/>
              <w:jc w:val="center"/>
              <w:rPr>
                <w:b/>
                <w:sz w:val="16"/>
                <w:szCs w:val="24"/>
              </w:rPr>
            </w:pPr>
          </w:p>
        </w:tc>
        <w:tc>
          <w:tcPr>
            <w:tcW w:w="13799" w:type="dxa"/>
            <w:gridSpan w:val="18"/>
            <w:vAlign w:val="center"/>
          </w:tcPr>
          <w:p w:rsidR="003B6715" w:rsidRPr="003B6715" w:rsidRDefault="003B6715" w:rsidP="00D26608">
            <w:pPr>
              <w:spacing w:before="40" w:after="40" w:line="240" w:lineRule="auto"/>
              <w:jc w:val="center"/>
              <w:rPr>
                <w:b/>
                <w:color w:val="000000"/>
                <w:sz w:val="16"/>
              </w:rPr>
            </w:pPr>
            <w:r w:rsidRPr="003B6715">
              <w:rPr>
                <w:b/>
                <w:color w:val="000000"/>
                <w:sz w:val="16"/>
              </w:rPr>
              <w:t>Year 2</w:t>
            </w:r>
          </w:p>
        </w:tc>
      </w:tr>
      <w:tr w:rsidR="003B6715" w:rsidRPr="00AA6F50" w:rsidTr="003B6715">
        <w:trPr>
          <w:cantSplit/>
          <w:trHeight w:val="397"/>
        </w:trPr>
        <w:tc>
          <w:tcPr>
            <w:tcW w:w="590" w:type="dxa"/>
            <w:vMerge w:val="restart"/>
            <w:textDirection w:val="btLr"/>
            <w:vAlign w:val="center"/>
          </w:tcPr>
          <w:p w:rsidR="003B6715" w:rsidRPr="00AA6F50" w:rsidRDefault="003B6715" w:rsidP="003B4E33">
            <w:pPr>
              <w:spacing w:before="40" w:afterLines="40" w:after="96"/>
              <w:ind w:left="113" w:right="113"/>
              <w:jc w:val="center"/>
              <w:rPr>
                <w:b/>
                <w:sz w:val="16"/>
                <w:szCs w:val="24"/>
              </w:rPr>
            </w:pPr>
            <w:r>
              <w:rPr>
                <w:b/>
                <w:sz w:val="16"/>
                <w:szCs w:val="24"/>
              </w:rPr>
              <w:t>Year 1</w:t>
            </w:r>
          </w:p>
        </w:tc>
        <w:tc>
          <w:tcPr>
            <w:tcW w:w="784" w:type="dxa"/>
            <w:vAlign w:val="center"/>
          </w:tcPr>
          <w:p w:rsidR="003B6715" w:rsidRPr="00AA6F50" w:rsidRDefault="003B6715" w:rsidP="003B6715">
            <w:pPr>
              <w:spacing w:after="0" w:line="240" w:lineRule="auto"/>
              <w:jc w:val="center"/>
              <w:rPr>
                <w:b/>
                <w:sz w:val="16"/>
                <w:szCs w:val="24"/>
              </w:rPr>
            </w:pPr>
          </w:p>
        </w:tc>
        <w:tc>
          <w:tcPr>
            <w:tcW w:w="412" w:type="dxa"/>
            <w:vAlign w:val="center"/>
          </w:tcPr>
          <w:p w:rsidR="003B6715" w:rsidRPr="00AA6F50" w:rsidRDefault="003B6715" w:rsidP="003B6715">
            <w:pPr>
              <w:spacing w:after="0" w:line="240" w:lineRule="auto"/>
              <w:jc w:val="center"/>
              <w:rPr>
                <w:color w:val="000000"/>
                <w:sz w:val="16"/>
                <w:szCs w:val="22"/>
              </w:rPr>
            </w:pPr>
          </w:p>
        </w:tc>
        <w:tc>
          <w:tcPr>
            <w:tcW w:w="786" w:type="dxa"/>
            <w:vAlign w:val="center"/>
          </w:tcPr>
          <w:p w:rsidR="003B6715" w:rsidRPr="00AA6F50" w:rsidRDefault="003B6715" w:rsidP="003B6715">
            <w:pPr>
              <w:spacing w:after="0" w:line="240" w:lineRule="auto"/>
              <w:jc w:val="center"/>
              <w:rPr>
                <w:color w:val="000000"/>
                <w:sz w:val="16"/>
                <w:szCs w:val="22"/>
              </w:rPr>
            </w:pPr>
            <w:proofErr w:type="spellStart"/>
            <w:r w:rsidRPr="00AA6F50">
              <w:rPr>
                <w:color w:val="000000"/>
                <w:sz w:val="16"/>
                <w:szCs w:val="22"/>
              </w:rPr>
              <w:t>NoEP</w:t>
            </w:r>
            <w:proofErr w:type="spellEnd"/>
          </w:p>
        </w:tc>
        <w:tc>
          <w:tcPr>
            <w:tcW w:w="791"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LoserQ1</w:t>
            </w: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b/>
                <w:sz w:val="16"/>
                <w:szCs w:val="24"/>
              </w:rPr>
            </w:pPr>
          </w:p>
        </w:tc>
        <w:tc>
          <w:tcPr>
            <w:tcW w:w="792" w:type="dxa"/>
            <w:vAlign w:val="center"/>
          </w:tcPr>
          <w:p w:rsidR="003B6715" w:rsidRPr="00AA6F50" w:rsidRDefault="003B6715" w:rsidP="003B6715">
            <w:pPr>
              <w:spacing w:after="0" w:line="240" w:lineRule="auto"/>
              <w:jc w:val="center"/>
              <w:rPr>
                <w:color w:val="000000"/>
                <w:sz w:val="16"/>
                <w:szCs w:val="22"/>
              </w:rPr>
            </w:pPr>
          </w:p>
        </w:tc>
        <w:tc>
          <w:tcPr>
            <w:tcW w:w="79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LoserQ5</w:t>
            </w:r>
          </w:p>
        </w:tc>
        <w:tc>
          <w:tcPr>
            <w:tcW w:w="793"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Glamour</w:t>
            </w:r>
          </w:p>
        </w:tc>
        <w:tc>
          <w:tcPr>
            <w:tcW w:w="785" w:type="dxa"/>
            <w:vAlign w:val="center"/>
          </w:tcPr>
          <w:p w:rsidR="003B6715" w:rsidRPr="00AA6F50" w:rsidRDefault="003B6715" w:rsidP="003B6715">
            <w:pPr>
              <w:spacing w:after="0" w:line="240" w:lineRule="auto"/>
              <w:jc w:val="center"/>
              <w:rPr>
                <w:color w:val="000000"/>
                <w:sz w:val="16"/>
                <w:szCs w:val="22"/>
              </w:rPr>
            </w:pPr>
          </w:p>
        </w:tc>
        <w:tc>
          <w:tcPr>
            <w:tcW w:w="792" w:type="dxa"/>
            <w:vAlign w:val="center"/>
          </w:tcPr>
          <w:p w:rsidR="003B6715" w:rsidRPr="00AA6F50" w:rsidRDefault="003B6715" w:rsidP="003B6715">
            <w:pPr>
              <w:spacing w:after="0" w:line="240" w:lineRule="auto"/>
              <w:jc w:val="center"/>
              <w:rPr>
                <w:color w:val="000000"/>
                <w:sz w:val="16"/>
                <w:szCs w:val="22"/>
              </w:rPr>
            </w:pPr>
          </w:p>
        </w:tc>
        <w:tc>
          <w:tcPr>
            <w:tcW w:w="792"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Value</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vAlign w:val="center"/>
          </w:tcPr>
          <w:p w:rsidR="003B6715" w:rsidRPr="00AA6F50" w:rsidRDefault="003B6715" w:rsidP="003B6715">
            <w:pPr>
              <w:spacing w:after="0" w:line="240" w:lineRule="auto"/>
              <w:jc w:val="center"/>
              <w:rPr>
                <w:b/>
                <w:sz w:val="16"/>
                <w:szCs w:val="24"/>
              </w:rPr>
            </w:pPr>
          </w:p>
        </w:tc>
        <w:tc>
          <w:tcPr>
            <w:tcW w:w="412" w:type="dxa"/>
            <w:vAlign w:val="center"/>
          </w:tcPr>
          <w:p w:rsidR="003B6715" w:rsidRPr="00AA6F50" w:rsidRDefault="003B6715" w:rsidP="003B6715">
            <w:pPr>
              <w:spacing w:after="0" w:line="240" w:lineRule="auto"/>
              <w:jc w:val="center"/>
              <w:rPr>
                <w:color w:val="000000"/>
                <w:sz w:val="16"/>
                <w:szCs w:val="22"/>
              </w:rPr>
            </w:pPr>
          </w:p>
        </w:tc>
        <w:tc>
          <w:tcPr>
            <w:tcW w:w="786"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00</w:t>
            </w:r>
          </w:p>
        </w:tc>
        <w:tc>
          <w:tcPr>
            <w:tcW w:w="791"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01</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02</w:t>
            </w:r>
          </w:p>
        </w:tc>
        <w:tc>
          <w:tcPr>
            <w:tcW w:w="785" w:type="dxa"/>
            <w:vAlign w:val="center"/>
          </w:tcPr>
          <w:p w:rsidR="003B6715" w:rsidRPr="00AA6F50" w:rsidRDefault="003B6715" w:rsidP="003B6715">
            <w:pPr>
              <w:spacing w:after="0" w:line="240" w:lineRule="auto"/>
              <w:jc w:val="center"/>
              <w:rPr>
                <w:b/>
                <w:sz w:val="16"/>
                <w:szCs w:val="24"/>
              </w:rPr>
            </w:pPr>
          </w:p>
        </w:tc>
        <w:tc>
          <w:tcPr>
            <w:tcW w:w="79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04</w:t>
            </w:r>
          </w:p>
        </w:tc>
        <w:tc>
          <w:tcPr>
            <w:tcW w:w="79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05</w:t>
            </w:r>
          </w:p>
        </w:tc>
        <w:tc>
          <w:tcPr>
            <w:tcW w:w="793"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06</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07</w:t>
            </w:r>
          </w:p>
        </w:tc>
        <w:tc>
          <w:tcPr>
            <w:tcW w:w="79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08</w:t>
            </w:r>
          </w:p>
        </w:tc>
        <w:tc>
          <w:tcPr>
            <w:tcW w:w="79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09</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10</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11</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12</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13</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14</w:t>
            </w:r>
          </w:p>
        </w:tc>
        <w:tc>
          <w:tcPr>
            <w:tcW w:w="785"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15</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LoserQ1</w:t>
            </w: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01</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-28.67%</w:t>
            </w:r>
          </w:p>
        </w:tc>
        <w:tc>
          <w:tcPr>
            <w:tcW w:w="791" w:type="dxa"/>
            <w:vAlign w:val="center"/>
          </w:tcPr>
          <w:p w:rsidR="003B6715" w:rsidRPr="00A42957" w:rsidRDefault="003B6715" w:rsidP="003B6715">
            <w:pPr>
              <w:spacing w:after="0" w:line="240" w:lineRule="auto"/>
              <w:jc w:val="center"/>
              <w:rPr>
                <w:b/>
                <w:bCs/>
                <w:sz w:val="16"/>
                <w:szCs w:val="16"/>
              </w:rPr>
            </w:pPr>
            <w:r w:rsidRPr="00A42957">
              <w:rPr>
                <w:b/>
                <w:bCs/>
                <w:sz w:val="16"/>
                <w:szCs w:val="16"/>
              </w:rPr>
              <w:t>-13.37%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31.68%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70.35%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118.73%</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130.88%</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84.68%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90.85%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128.12%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106.47%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75.73%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60.24%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78.22%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25.25%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61.28%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36.15%</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02</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-22.25%</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-33.28%</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0.50%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29.36%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68.07%</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106.96%</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64.26%</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48.82%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72.24%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71.67%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78.48%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27.90%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35.51%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47.61%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60.14%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38.35%</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03</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-9.00%</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-38.98%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-21.64%</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10.36%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34.65%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74.65%</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57.49%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50.61%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62.87%</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43.22%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35.42%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29.57%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41.19%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14.24%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6.29%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23.19%</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04</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7.58%</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-44.72%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-25.34%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-4.77%</w:t>
            </w:r>
          </w:p>
        </w:tc>
        <w:tc>
          <w:tcPr>
            <w:tcW w:w="792" w:type="dxa"/>
            <w:vAlign w:val="center"/>
          </w:tcPr>
          <w:p w:rsidR="003B6715" w:rsidRPr="00A42957" w:rsidRDefault="003B6715" w:rsidP="003B6715">
            <w:pPr>
              <w:spacing w:after="0" w:line="240" w:lineRule="auto"/>
              <w:jc w:val="center"/>
              <w:rPr>
                <w:b/>
                <w:bCs/>
                <w:sz w:val="16"/>
                <w:szCs w:val="16"/>
              </w:rPr>
            </w:pPr>
            <w:r w:rsidRPr="00A42957">
              <w:rPr>
                <w:b/>
                <w:bCs/>
                <w:sz w:val="16"/>
                <w:szCs w:val="16"/>
              </w:rPr>
              <w:t>11.39%</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46.72%</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42.13%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36.36%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28.90%</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32.68%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31.74%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15.83%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23.52%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25.18%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26.54%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11.23%</w:t>
            </w:r>
          </w:p>
        </w:tc>
      </w:tr>
      <w:tr w:rsidR="003B6715" w:rsidRPr="00AA6F50" w:rsidTr="003B6715">
        <w:trPr>
          <w:cantSplit/>
          <w:trHeight w:val="397"/>
        </w:trPr>
        <w:tc>
          <w:tcPr>
            <w:tcW w:w="590" w:type="dxa"/>
            <w:vMerge/>
          </w:tcPr>
          <w:p w:rsidR="003B6715" w:rsidRPr="00AA6F50" w:rsidRDefault="003B6715" w:rsidP="003B4E33">
            <w:pPr>
              <w:spacing w:before="40" w:afterLines="40" w:after="96"/>
              <w:rPr>
                <w:b/>
                <w:sz w:val="16"/>
                <w:szCs w:val="24"/>
              </w:rPr>
            </w:pPr>
          </w:p>
        </w:tc>
        <w:tc>
          <w:tcPr>
            <w:tcW w:w="784" w:type="dxa"/>
            <w:tcBorders>
              <w:bottom w:val="single" w:sz="4" w:space="0" w:color="000000"/>
            </w:tcBorders>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LoserQ5</w:t>
            </w:r>
          </w:p>
        </w:tc>
        <w:tc>
          <w:tcPr>
            <w:tcW w:w="412" w:type="dxa"/>
            <w:tcBorders>
              <w:bottom w:val="single" w:sz="4" w:space="0" w:color="000000"/>
            </w:tcBorders>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05</w:t>
            </w:r>
          </w:p>
        </w:tc>
        <w:tc>
          <w:tcPr>
            <w:tcW w:w="786"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8.91%</w:t>
            </w:r>
          </w:p>
        </w:tc>
        <w:tc>
          <w:tcPr>
            <w:tcW w:w="791"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-43.08%</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-25.67%</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-13.01%</w:t>
            </w:r>
          </w:p>
        </w:tc>
        <w:tc>
          <w:tcPr>
            <w:tcW w:w="792"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-2.89%</w:t>
            </w:r>
          </w:p>
        </w:tc>
        <w:tc>
          <w:tcPr>
            <w:tcW w:w="792" w:type="dxa"/>
            <w:tcBorders>
              <w:bottom w:val="single" w:sz="4" w:space="0" w:color="000000"/>
            </w:tcBorders>
            <w:vAlign w:val="center"/>
          </w:tcPr>
          <w:p w:rsidR="003B6715" w:rsidRPr="00A42957" w:rsidRDefault="003B6715" w:rsidP="003B6715">
            <w:pPr>
              <w:spacing w:after="0" w:line="240" w:lineRule="auto"/>
              <w:jc w:val="center"/>
              <w:rPr>
                <w:b/>
                <w:bCs/>
                <w:sz w:val="16"/>
                <w:szCs w:val="16"/>
              </w:rPr>
            </w:pPr>
            <w:r w:rsidRPr="00A42957">
              <w:rPr>
                <w:b/>
                <w:bCs/>
                <w:sz w:val="16"/>
                <w:szCs w:val="16"/>
              </w:rPr>
              <w:t>41.98%</w:t>
            </w:r>
          </w:p>
        </w:tc>
        <w:tc>
          <w:tcPr>
            <w:tcW w:w="793"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34.31%</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22.15%</w:t>
            </w:r>
          </w:p>
        </w:tc>
        <w:tc>
          <w:tcPr>
            <w:tcW w:w="792"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23.14%</w:t>
            </w:r>
          </w:p>
        </w:tc>
        <w:tc>
          <w:tcPr>
            <w:tcW w:w="792"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23.02%</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14.69%</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10.85%</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17.23%</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14.69%</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21.77%</w:t>
            </w:r>
          </w:p>
        </w:tc>
        <w:tc>
          <w:tcPr>
            <w:tcW w:w="785" w:type="dxa"/>
            <w:tcBorders>
              <w:bottom w:val="single" w:sz="4" w:space="0" w:color="000000"/>
            </w:tcBorders>
            <w:vAlign w:val="center"/>
          </w:tcPr>
          <w:p w:rsidR="003B6715" w:rsidRPr="00A42957" w:rsidRDefault="003B6715" w:rsidP="003B6715">
            <w:pPr>
              <w:spacing w:after="0" w:line="240" w:lineRule="auto"/>
              <w:jc w:val="center"/>
              <w:rPr>
                <w:sz w:val="16"/>
                <w:szCs w:val="16"/>
              </w:rPr>
            </w:pPr>
            <w:r w:rsidRPr="00A42957">
              <w:rPr>
                <w:sz w:val="16"/>
                <w:szCs w:val="16"/>
              </w:rPr>
              <w:t>-5.43%</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Glamour</w:t>
            </w: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06</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8.67%</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-41.32%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-23.71%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-7.12%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-5.92%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14.32%</w:t>
            </w:r>
          </w:p>
        </w:tc>
        <w:tc>
          <w:tcPr>
            <w:tcW w:w="793" w:type="dxa"/>
            <w:vAlign w:val="center"/>
          </w:tcPr>
          <w:p w:rsidR="003B6715" w:rsidRPr="003B6715" w:rsidRDefault="003B6715" w:rsidP="003B6715">
            <w:pPr>
              <w:spacing w:after="0" w:line="240" w:lineRule="auto"/>
              <w:jc w:val="center"/>
              <w:rPr>
                <w:b/>
                <w:bCs/>
                <w:sz w:val="16"/>
                <w:szCs w:val="16"/>
              </w:rPr>
            </w:pPr>
            <w:r w:rsidRPr="003B6715">
              <w:rPr>
                <w:b/>
                <w:bCs/>
                <w:sz w:val="16"/>
                <w:szCs w:val="16"/>
              </w:rPr>
              <w:t>37.25%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20.75%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12.41%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10.02%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12.90%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4.61%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2.30%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-3.90%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-6.88%</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07</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28.84%</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-44.65%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-18.75%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-10.07%</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-7.57%</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5.98%</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43.46%</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34.61%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11.24%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2.72%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-0.75%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0.40%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-5.69%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-6.44%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-4.65%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-11.57%</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08</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17.24%</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-45.63%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-21.94%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-18.32%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-2.46%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0.37%</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41.90%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48.86%</w:t>
            </w:r>
          </w:p>
        </w:tc>
        <w:tc>
          <w:tcPr>
            <w:tcW w:w="792" w:type="dxa"/>
            <w:vAlign w:val="center"/>
          </w:tcPr>
          <w:p w:rsidR="003B6715" w:rsidRPr="00A42957" w:rsidRDefault="003B6715" w:rsidP="003B6715">
            <w:pPr>
              <w:spacing w:after="0" w:line="240" w:lineRule="auto"/>
              <w:jc w:val="center"/>
              <w:rPr>
                <w:b/>
                <w:bCs/>
                <w:sz w:val="16"/>
                <w:szCs w:val="16"/>
              </w:rPr>
            </w:pPr>
            <w:r w:rsidRPr="00A42957">
              <w:rPr>
                <w:b/>
                <w:bCs/>
                <w:sz w:val="16"/>
                <w:szCs w:val="16"/>
              </w:rPr>
              <w:t>28.57%</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12.31%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1.61%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-0.81%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-4.25%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-9.09%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-10.88%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-12.94%</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09</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14.53%</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-39.51%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-25.34%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-11.08%</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-0.55%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9.89%</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31.55%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47.40%</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38.52%</w:t>
            </w:r>
          </w:p>
        </w:tc>
        <w:tc>
          <w:tcPr>
            <w:tcW w:w="792" w:type="dxa"/>
            <w:vAlign w:val="center"/>
          </w:tcPr>
          <w:p w:rsidR="003B6715" w:rsidRPr="00A42957" w:rsidRDefault="003B6715" w:rsidP="003B6715">
            <w:pPr>
              <w:spacing w:after="0" w:line="240" w:lineRule="auto"/>
              <w:jc w:val="center"/>
              <w:rPr>
                <w:b/>
                <w:bCs/>
                <w:sz w:val="16"/>
                <w:szCs w:val="16"/>
              </w:rPr>
            </w:pPr>
            <w:r w:rsidRPr="00A42957">
              <w:rPr>
                <w:b/>
                <w:bCs/>
                <w:sz w:val="16"/>
                <w:szCs w:val="16"/>
              </w:rPr>
              <w:t>24.34%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10.13%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3.41%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-3.36%</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-7.33%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-11.53%</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-12.28%</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10</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17.79%</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-40.08%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-28.45%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-11.63%</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-3.84%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1.95%</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30.60%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43.20%</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42.46%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28.12%</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19.72%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10.54%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1.85%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-2.74%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-9.71%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-11.61%</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11</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26.55%</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-36.86%</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-16.31%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-8.46%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1.63%</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7.36%</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23.98%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46.74%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40.61%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34.22%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25.70%</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18.11%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7.67%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0.99%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-5.80%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-12.70%</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12</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25.89%</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-39.96%</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-22.45%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-12.75%</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-2.81%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9.88%</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26.20%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39.98%</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41.54%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40.61%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32.31%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24.42%</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16.32%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6.85%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-0.60%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-6.89%</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13</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24.45%</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-38.49%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-13.75%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-8.08%</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-2.24%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17.23%</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32.62%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36.79%</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43.24%</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37.85%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35.85%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31.37%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24.31%</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15.49%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6.38%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-6.44%</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14</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40.98%</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-30.87%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-9.92%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-5.86%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4.99%</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23.77%</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30.12%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28.41%</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43.02%</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36.62%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44.48%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40.20%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33.79%</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23.55%</w:t>
            </w:r>
          </w:p>
        </w:tc>
        <w:tc>
          <w:tcPr>
            <w:tcW w:w="785" w:type="dxa"/>
            <w:vAlign w:val="center"/>
          </w:tcPr>
          <w:p w:rsidR="003B6715" w:rsidRPr="00A42957" w:rsidRDefault="003B6715" w:rsidP="003B6715">
            <w:pPr>
              <w:spacing w:after="0" w:line="240" w:lineRule="auto"/>
              <w:jc w:val="center"/>
              <w:rPr>
                <w:b/>
                <w:bCs/>
                <w:sz w:val="16"/>
                <w:szCs w:val="16"/>
              </w:rPr>
            </w:pPr>
            <w:r w:rsidRPr="00A42957">
              <w:rPr>
                <w:b/>
                <w:bCs/>
                <w:sz w:val="16"/>
                <w:szCs w:val="16"/>
              </w:rPr>
              <w:t>13.67%</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-1.98%</w:t>
            </w:r>
          </w:p>
        </w:tc>
      </w:tr>
      <w:tr w:rsidR="003B6715" w:rsidRPr="00AA6F50" w:rsidTr="003B6715">
        <w:trPr>
          <w:cantSplit/>
          <w:trHeight w:val="397"/>
        </w:trPr>
        <w:tc>
          <w:tcPr>
            <w:tcW w:w="590" w:type="dxa"/>
            <w:vMerge/>
          </w:tcPr>
          <w:p w:rsidR="003B6715" w:rsidRPr="00AA6F50" w:rsidRDefault="003B6715" w:rsidP="003B4E33">
            <w:pPr>
              <w:spacing w:before="40" w:afterLines="40" w:after="96" w:line="240" w:lineRule="auto"/>
              <w:rPr>
                <w:b/>
                <w:sz w:val="16"/>
                <w:szCs w:val="24"/>
              </w:rPr>
            </w:pPr>
          </w:p>
        </w:tc>
        <w:tc>
          <w:tcPr>
            <w:tcW w:w="784"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Value</w:t>
            </w:r>
          </w:p>
        </w:tc>
        <w:tc>
          <w:tcPr>
            <w:tcW w:w="412" w:type="dxa"/>
            <w:vAlign w:val="center"/>
          </w:tcPr>
          <w:p w:rsidR="003B6715" w:rsidRPr="00AA6F50" w:rsidRDefault="003B6715" w:rsidP="003B6715">
            <w:pPr>
              <w:spacing w:after="0" w:line="240" w:lineRule="auto"/>
              <w:jc w:val="center"/>
              <w:rPr>
                <w:color w:val="000000"/>
                <w:sz w:val="16"/>
                <w:szCs w:val="22"/>
              </w:rPr>
            </w:pPr>
            <w:r w:rsidRPr="00AA6F50">
              <w:rPr>
                <w:color w:val="000000"/>
                <w:sz w:val="16"/>
                <w:szCs w:val="22"/>
              </w:rPr>
              <w:t>15</w:t>
            </w:r>
          </w:p>
        </w:tc>
        <w:tc>
          <w:tcPr>
            <w:tcW w:w="786" w:type="dxa"/>
            <w:vAlign w:val="center"/>
          </w:tcPr>
          <w:p w:rsidR="003B6715" w:rsidRPr="00A42957" w:rsidRDefault="003B6715" w:rsidP="003B6715">
            <w:pPr>
              <w:spacing w:after="0" w:line="240" w:lineRule="auto"/>
              <w:jc w:val="center"/>
              <w:rPr>
                <w:sz w:val="16"/>
                <w:szCs w:val="16"/>
              </w:rPr>
            </w:pPr>
            <w:r w:rsidRPr="00A42957">
              <w:rPr>
                <w:sz w:val="16"/>
                <w:szCs w:val="16"/>
              </w:rPr>
              <w:t>13.69%</w:t>
            </w:r>
          </w:p>
        </w:tc>
        <w:tc>
          <w:tcPr>
            <w:tcW w:w="791" w:type="dxa"/>
            <w:vAlign w:val="center"/>
          </w:tcPr>
          <w:p w:rsidR="003B6715" w:rsidRPr="00A42957" w:rsidRDefault="003B6715" w:rsidP="003B6715">
            <w:pPr>
              <w:spacing w:after="0" w:line="240" w:lineRule="auto"/>
              <w:jc w:val="center"/>
              <w:rPr>
                <w:sz w:val="16"/>
                <w:szCs w:val="16"/>
              </w:rPr>
            </w:pPr>
            <w:r w:rsidRPr="00A42957">
              <w:rPr>
                <w:sz w:val="16"/>
                <w:szCs w:val="16"/>
              </w:rPr>
              <w:t>-26.62%</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-11.94%</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5.30%</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9.56%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17.08%</w:t>
            </w:r>
          </w:p>
        </w:tc>
        <w:tc>
          <w:tcPr>
            <w:tcW w:w="793" w:type="dxa"/>
            <w:vAlign w:val="center"/>
          </w:tcPr>
          <w:p w:rsidR="003B6715" w:rsidRPr="00A42957" w:rsidRDefault="003B6715" w:rsidP="003B6715">
            <w:pPr>
              <w:spacing w:after="0" w:line="240" w:lineRule="auto"/>
              <w:jc w:val="center"/>
              <w:rPr>
                <w:sz w:val="16"/>
                <w:szCs w:val="16"/>
              </w:rPr>
            </w:pPr>
            <w:r w:rsidRPr="00A42957">
              <w:rPr>
                <w:sz w:val="16"/>
                <w:szCs w:val="16"/>
              </w:rPr>
              <w:t>22.75%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49.96%</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41.58%</w:t>
            </w:r>
          </w:p>
        </w:tc>
        <w:tc>
          <w:tcPr>
            <w:tcW w:w="792" w:type="dxa"/>
            <w:vAlign w:val="center"/>
          </w:tcPr>
          <w:p w:rsidR="003B6715" w:rsidRPr="00A42957" w:rsidRDefault="003B6715" w:rsidP="003B6715">
            <w:pPr>
              <w:spacing w:after="0" w:line="240" w:lineRule="auto"/>
              <w:jc w:val="center"/>
              <w:rPr>
                <w:sz w:val="16"/>
                <w:szCs w:val="16"/>
              </w:rPr>
            </w:pPr>
            <w:r w:rsidRPr="00A42957">
              <w:rPr>
                <w:sz w:val="16"/>
                <w:szCs w:val="16"/>
              </w:rPr>
              <w:t>38.40%</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36.05%</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41.01%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39.71%</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36.98%</w:t>
            </w:r>
          </w:p>
        </w:tc>
        <w:tc>
          <w:tcPr>
            <w:tcW w:w="785" w:type="dxa"/>
            <w:vAlign w:val="center"/>
          </w:tcPr>
          <w:p w:rsidR="003B6715" w:rsidRPr="00A42957" w:rsidRDefault="003B6715" w:rsidP="003B6715">
            <w:pPr>
              <w:spacing w:after="0" w:line="240" w:lineRule="auto"/>
              <w:jc w:val="center"/>
              <w:rPr>
                <w:sz w:val="16"/>
                <w:szCs w:val="16"/>
              </w:rPr>
            </w:pPr>
            <w:r w:rsidRPr="00A42957">
              <w:rPr>
                <w:sz w:val="16"/>
                <w:szCs w:val="16"/>
              </w:rPr>
              <w:t>29.96%</w:t>
            </w:r>
          </w:p>
        </w:tc>
        <w:tc>
          <w:tcPr>
            <w:tcW w:w="785" w:type="dxa"/>
            <w:vAlign w:val="center"/>
          </w:tcPr>
          <w:p w:rsidR="003B6715" w:rsidRPr="003B6715" w:rsidRDefault="003B6715" w:rsidP="003B6715">
            <w:pPr>
              <w:spacing w:after="0" w:line="240" w:lineRule="auto"/>
              <w:jc w:val="center"/>
              <w:rPr>
                <w:b/>
                <w:bCs/>
                <w:sz w:val="16"/>
                <w:szCs w:val="16"/>
              </w:rPr>
            </w:pPr>
            <w:r w:rsidRPr="003B6715">
              <w:rPr>
                <w:b/>
                <w:bCs/>
                <w:sz w:val="16"/>
                <w:szCs w:val="16"/>
              </w:rPr>
              <w:t>12.27%</w:t>
            </w:r>
          </w:p>
        </w:tc>
      </w:tr>
    </w:tbl>
    <w:p w:rsidR="00A42957" w:rsidRDefault="00A42957" w:rsidP="00A42957">
      <w:pPr>
        <w:pStyle w:val="Caption"/>
        <w:rPr>
          <w:b w:val="0"/>
          <w:sz w:val="24"/>
          <w:szCs w:val="24"/>
        </w:rPr>
      </w:pPr>
      <w:r>
        <w:t>Table 2: One-year average returns for each decile transition, all US companies 1983-2009</w:t>
      </w:r>
    </w:p>
    <w:p w:rsidR="002351A4" w:rsidRDefault="002351A4">
      <w:pPr>
        <w:spacing w:after="0" w:line="240" w:lineRule="auto"/>
        <w:rPr>
          <w:b/>
          <w:sz w:val="24"/>
          <w:szCs w:val="24"/>
        </w:rPr>
      </w:pPr>
      <w:r>
        <w:rPr>
          <w:b/>
          <w:sz w:val="24"/>
          <w:szCs w:val="24"/>
        </w:rPr>
        <w:br w:type="page"/>
      </w:r>
    </w:p>
    <w:p w:rsidR="002351A4" w:rsidRDefault="002351A4" w:rsidP="002351A4">
      <w:pPr>
        <w:spacing w:after="0" w:line="240" w:lineRule="auto"/>
        <w:rPr>
          <w:b/>
          <w:sz w:val="24"/>
          <w:szCs w:val="24"/>
        </w:rPr>
      </w:pPr>
      <w:r>
        <w:rPr>
          <w:b/>
          <w:sz w:val="24"/>
          <w:szCs w:val="24"/>
        </w:rPr>
        <w:lastRenderedPageBreak/>
        <w:t xml:space="preserve">Table </w:t>
      </w:r>
      <w:r w:rsidR="00CD1178">
        <w:rPr>
          <w:b/>
          <w:sz w:val="24"/>
          <w:szCs w:val="24"/>
        </w:rPr>
        <w:t>4</w:t>
      </w:r>
    </w:p>
    <w:tbl>
      <w:tblPr>
        <w:tblStyle w:val="TableGrid"/>
        <w:tblW w:w="14283" w:type="dxa"/>
        <w:tblLook w:val="04A0" w:firstRow="1" w:lastRow="0" w:firstColumn="1" w:lastColumn="0" w:noHBand="0" w:noVBand="1"/>
      </w:tblPr>
      <w:tblGrid>
        <w:gridCol w:w="590"/>
        <w:gridCol w:w="784"/>
        <w:gridCol w:w="383"/>
        <w:gridCol w:w="705"/>
        <w:gridCol w:w="759"/>
        <w:gridCol w:w="704"/>
        <w:gridCol w:w="707"/>
        <w:gridCol w:w="778"/>
        <w:gridCol w:w="778"/>
        <w:gridCol w:w="784"/>
        <w:gridCol w:w="707"/>
        <w:gridCol w:w="778"/>
        <w:gridCol w:w="778"/>
        <w:gridCol w:w="707"/>
        <w:gridCol w:w="707"/>
        <w:gridCol w:w="707"/>
        <w:gridCol w:w="707"/>
        <w:gridCol w:w="707"/>
        <w:gridCol w:w="707"/>
        <w:gridCol w:w="806"/>
      </w:tblGrid>
      <w:tr w:rsidR="002351A4" w:rsidRPr="00AA6F50" w:rsidTr="002351A4">
        <w:trPr>
          <w:trHeight w:val="649"/>
        </w:trPr>
        <w:tc>
          <w:tcPr>
            <w:tcW w:w="590" w:type="dxa"/>
            <w:textDirection w:val="btLr"/>
            <w:vAlign w:val="center"/>
          </w:tcPr>
          <w:p w:rsidR="002351A4" w:rsidRDefault="002351A4" w:rsidP="003B4E33">
            <w:pPr>
              <w:spacing w:before="40" w:afterLines="40" w:after="96"/>
              <w:ind w:left="113" w:right="113"/>
              <w:jc w:val="center"/>
              <w:rPr>
                <w:b/>
                <w:sz w:val="16"/>
                <w:szCs w:val="24"/>
              </w:rPr>
            </w:pPr>
          </w:p>
        </w:tc>
        <w:tc>
          <w:tcPr>
            <w:tcW w:w="13693" w:type="dxa"/>
            <w:gridSpan w:val="19"/>
            <w:vAlign w:val="center"/>
          </w:tcPr>
          <w:p w:rsidR="002351A4" w:rsidRPr="003B6715" w:rsidRDefault="002351A4" w:rsidP="005F4FC7">
            <w:pPr>
              <w:spacing w:before="40" w:after="40" w:line="240" w:lineRule="auto"/>
              <w:jc w:val="center"/>
              <w:rPr>
                <w:b/>
                <w:color w:val="000000"/>
                <w:sz w:val="16"/>
              </w:rPr>
            </w:pPr>
            <w:r w:rsidRPr="003B6715">
              <w:rPr>
                <w:b/>
                <w:color w:val="000000"/>
                <w:sz w:val="16"/>
              </w:rPr>
              <w:t>Year 2</w:t>
            </w:r>
          </w:p>
        </w:tc>
      </w:tr>
      <w:tr w:rsidR="002351A4" w:rsidRPr="00AA6F50" w:rsidTr="002351A4">
        <w:trPr>
          <w:cantSplit/>
          <w:trHeight w:val="397"/>
        </w:trPr>
        <w:tc>
          <w:tcPr>
            <w:tcW w:w="590" w:type="dxa"/>
            <w:vMerge w:val="restart"/>
            <w:textDirection w:val="btLr"/>
            <w:vAlign w:val="center"/>
          </w:tcPr>
          <w:p w:rsidR="002351A4" w:rsidRPr="00AA6F50" w:rsidRDefault="002351A4" w:rsidP="003B4E33">
            <w:pPr>
              <w:spacing w:before="40" w:afterLines="40" w:after="96"/>
              <w:ind w:left="113" w:right="113"/>
              <w:jc w:val="center"/>
              <w:rPr>
                <w:b/>
                <w:sz w:val="16"/>
                <w:szCs w:val="24"/>
              </w:rPr>
            </w:pPr>
            <w:r>
              <w:rPr>
                <w:b/>
                <w:sz w:val="16"/>
                <w:szCs w:val="24"/>
              </w:rPr>
              <w:t>Year 1</w:t>
            </w:r>
          </w:p>
        </w:tc>
        <w:tc>
          <w:tcPr>
            <w:tcW w:w="784" w:type="dxa"/>
            <w:vAlign w:val="center"/>
          </w:tcPr>
          <w:p w:rsidR="002351A4" w:rsidRPr="00AA6F50" w:rsidRDefault="002351A4" w:rsidP="005F4FC7">
            <w:pPr>
              <w:spacing w:after="0" w:line="240" w:lineRule="auto"/>
              <w:jc w:val="center"/>
              <w:rPr>
                <w:b/>
                <w:sz w:val="16"/>
                <w:szCs w:val="24"/>
              </w:rPr>
            </w:pPr>
          </w:p>
        </w:tc>
        <w:tc>
          <w:tcPr>
            <w:tcW w:w="383" w:type="dxa"/>
            <w:vAlign w:val="center"/>
          </w:tcPr>
          <w:p w:rsidR="002351A4" w:rsidRPr="00AA6F50" w:rsidRDefault="002351A4" w:rsidP="005F4FC7">
            <w:pPr>
              <w:spacing w:after="0" w:line="240" w:lineRule="auto"/>
              <w:jc w:val="center"/>
              <w:rPr>
                <w:color w:val="000000"/>
                <w:sz w:val="16"/>
                <w:szCs w:val="22"/>
              </w:rPr>
            </w:pPr>
          </w:p>
        </w:tc>
        <w:tc>
          <w:tcPr>
            <w:tcW w:w="705" w:type="dxa"/>
            <w:vAlign w:val="center"/>
          </w:tcPr>
          <w:p w:rsidR="002351A4" w:rsidRPr="00AA6F50" w:rsidRDefault="002351A4" w:rsidP="005F4FC7">
            <w:pPr>
              <w:spacing w:after="0" w:line="240" w:lineRule="auto"/>
              <w:jc w:val="center"/>
              <w:rPr>
                <w:color w:val="000000"/>
                <w:sz w:val="16"/>
                <w:szCs w:val="22"/>
              </w:rPr>
            </w:pPr>
            <w:proofErr w:type="spellStart"/>
            <w:r w:rsidRPr="00AA6F50">
              <w:rPr>
                <w:color w:val="000000"/>
                <w:sz w:val="16"/>
                <w:szCs w:val="22"/>
              </w:rPr>
              <w:t>NoEP</w:t>
            </w:r>
            <w:proofErr w:type="spellEnd"/>
          </w:p>
        </w:tc>
        <w:tc>
          <w:tcPr>
            <w:tcW w:w="759"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LoserQ1</w:t>
            </w:r>
          </w:p>
        </w:tc>
        <w:tc>
          <w:tcPr>
            <w:tcW w:w="704"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b/>
                <w:sz w:val="16"/>
                <w:szCs w:val="24"/>
              </w:rPr>
            </w:pPr>
          </w:p>
        </w:tc>
        <w:tc>
          <w:tcPr>
            <w:tcW w:w="778" w:type="dxa"/>
            <w:vAlign w:val="center"/>
          </w:tcPr>
          <w:p w:rsidR="002351A4" w:rsidRPr="00AA6F50" w:rsidRDefault="002351A4" w:rsidP="005F4FC7">
            <w:pPr>
              <w:spacing w:after="0" w:line="240" w:lineRule="auto"/>
              <w:jc w:val="center"/>
              <w:rPr>
                <w:color w:val="000000"/>
                <w:sz w:val="16"/>
                <w:szCs w:val="22"/>
              </w:rPr>
            </w:pPr>
          </w:p>
        </w:tc>
        <w:tc>
          <w:tcPr>
            <w:tcW w:w="778"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LoserQ5</w:t>
            </w:r>
          </w:p>
        </w:tc>
        <w:tc>
          <w:tcPr>
            <w:tcW w:w="78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Glamour</w:t>
            </w:r>
          </w:p>
        </w:tc>
        <w:tc>
          <w:tcPr>
            <w:tcW w:w="707" w:type="dxa"/>
            <w:vAlign w:val="center"/>
          </w:tcPr>
          <w:p w:rsidR="002351A4" w:rsidRPr="00AA6F50" w:rsidRDefault="002351A4" w:rsidP="005F4FC7">
            <w:pPr>
              <w:spacing w:after="0" w:line="240" w:lineRule="auto"/>
              <w:jc w:val="center"/>
              <w:rPr>
                <w:color w:val="000000"/>
                <w:sz w:val="16"/>
                <w:szCs w:val="22"/>
              </w:rPr>
            </w:pPr>
          </w:p>
        </w:tc>
        <w:tc>
          <w:tcPr>
            <w:tcW w:w="778" w:type="dxa"/>
            <w:vAlign w:val="center"/>
          </w:tcPr>
          <w:p w:rsidR="002351A4" w:rsidRPr="00AA6F50" w:rsidRDefault="002351A4" w:rsidP="005F4FC7">
            <w:pPr>
              <w:spacing w:after="0" w:line="240" w:lineRule="auto"/>
              <w:jc w:val="center"/>
              <w:rPr>
                <w:color w:val="000000"/>
                <w:sz w:val="16"/>
                <w:szCs w:val="22"/>
              </w:rPr>
            </w:pPr>
          </w:p>
        </w:tc>
        <w:tc>
          <w:tcPr>
            <w:tcW w:w="778"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Value</w:t>
            </w:r>
          </w:p>
        </w:tc>
        <w:tc>
          <w:tcPr>
            <w:tcW w:w="806" w:type="dxa"/>
            <w:vAlign w:val="center"/>
          </w:tcPr>
          <w:p w:rsidR="002351A4" w:rsidRPr="002351A4" w:rsidRDefault="002351A4" w:rsidP="002351A4">
            <w:pPr>
              <w:spacing w:after="0" w:line="240" w:lineRule="auto"/>
              <w:jc w:val="center"/>
              <w:rPr>
                <w:b/>
                <w:color w:val="000000"/>
                <w:sz w:val="16"/>
              </w:rPr>
            </w:pPr>
            <w:r w:rsidRPr="002351A4">
              <w:rPr>
                <w:b/>
                <w:color w:val="000000"/>
                <w:sz w:val="16"/>
              </w:rPr>
              <w:t>Sum</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vAlign w:val="center"/>
          </w:tcPr>
          <w:p w:rsidR="002351A4" w:rsidRPr="00AA6F50" w:rsidRDefault="002351A4" w:rsidP="005F4FC7">
            <w:pPr>
              <w:spacing w:after="0" w:line="240" w:lineRule="auto"/>
              <w:jc w:val="center"/>
              <w:rPr>
                <w:b/>
                <w:sz w:val="16"/>
                <w:szCs w:val="24"/>
              </w:rPr>
            </w:pPr>
          </w:p>
        </w:tc>
        <w:tc>
          <w:tcPr>
            <w:tcW w:w="383" w:type="dxa"/>
            <w:vAlign w:val="center"/>
          </w:tcPr>
          <w:p w:rsidR="002351A4" w:rsidRPr="00AA6F50" w:rsidRDefault="002351A4" w:rsidP="005F4FC7">
            <w:pPr>
              <w:spacing w:after="0" w:line="240" w:lineRule="auto"/>
              <w:jc w:val="center"/>
              <w:rPr>
                <w:color w:val="000000"/>
                <w:sz w:val="16"/>
                <w:szCs w:val="22"/>
              </w:rPr>
            </w:pPr>
          </w:p>
        </w:tc>
        <w:tc>
          <w:tcPr>
            <w:tcW w:w="705"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00</w:t>
            </w:r>
          </w:p>
        </w:tc>
        <w:tc>
          <w:tcPr>
            <w:tcW w:w="759"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01</w:t>
            </w:r>
          </w:p>
        </w:tc>
        <w:tc>
          <w:tcPr>
            <w:tcW w:w="70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02</w:t>
            </w:r>
          </w:p>
        </w:tc>
        <w:tc>
          <w:tcPr>
            <w:tcW w:w="707" w:type="dxa"/>
            <w:vAlign w:val="center"/>
          </w:tcPr>
          <w:p w:rsidR="002351A4" w:rsidRPr="00AA6F50" w:rsidRDefault="002351A4" w:rsidP="005F4FC7">
            <w:pPr>
              <w:spacing w:after="0" w:line="240" w:lineRule="auto"/>
              <w:jc w:val="center"/>
              <w:rPr>
                <w:b/>
                <w:sz w:val="16"/>
                <w:szCs w:val="24"/>
              </w:rPr>
            </w:pPr>
          </w:p>
        </w:tc>
        <w:tc>
          <w:tcPr>
            <w:tcW w:w="778"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04</w:t>
            </w:r>
          </w:p>
        </w:tc>
        <w:tc>
          <w:tcPr>
            <w:tcW w:w="778"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05</w:t>
            </w:r>
          </w:p>
        </w:tc>
        <w:tc>
          <w:tcPr>
            <w:tcW w:w="78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06</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07</w:t>
            </w:r>
          </w:p>
        </w:tc>
        <w:tc>
          <w:tcPr>
            <w:tcW w:w="778"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08</w:t>
            </w:r>
          </w:p>
        </w:tc>
        <w:tc>
          <w:tcPr>
            <w:tcW w:w="778"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09</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10</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11</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12</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13</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14</w:t>
            </w:r>
          </w:p>
        </w:tc>
        <w:tc>
          <w:tcPr>
            <w:tcW w:w="707"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15</w:t>
            </w:r>
          </w:p>
        </w:tc>
        <w:tc>
          <w:tcPr>
            <w:tcW w:w="806" w:type="dxa"/>
            <w:vAlign w:val="center"/>
          </w:tcPr>
          <w:p w:rsidR="002351A4" w:rsidRPr="002351A4" w:rsidRDefault="002351A4" w:rsidP="002351A4">
            <w:pPr>
              <w:spacing w:after="0" w:line="240" w:lineRule="auto"/>
              <w:jc w:val="center"/>
              <w:rPr>
                <w:b/>
                <w:color w:val="000000"/>
                <w:sz w:val="16"/>
              </w:rPr>
            </w:pPr>
            <w:r>
              <w:rPr>
                <w:b/>
                <w:color w:val="000000"/>
                <w:sz w:val="16"/>
              </w:rPr>
              <w:t>E(</w:t>
            </w:r>
            <w:proofErr w:type="spellStart"/>
            <w:r>
              <w:rPr>
                <w:b/>
                <w:color w:val="000000"/>
                <w:sz w:val="16"/>
              </w:rPr>
              <w:t>Rtn</w:t>
            </w:r>
            <w:proofErr w:type="spellEnd"/>
            <w:r>
              <w:rPr>
                <w:b/>
                <w:color w:val="000000"/>
                <w:sz w:val="16"/>
              </w:rPr>
              <w:t>)</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LoserQ1</w:t>
            </w: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01</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-7.77%</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-4.26%</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4.30%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4.76%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4.82%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3.09%</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1.33%</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1.38%</w:t>
            </w:r>
          </w:p>
        </w:tc>
        <w:tc>
          <w:tcPr>
            <w:tcW w:w="806" w:type="dxa"/>
            <w:vAlign w:val="center"/>
          </w:tcPr>
          <w:p w:rsidR="002351A4" w:rsidRPr="002351A4" w:rsidRDefault="002351A4" w:rsidP="003B4E33">
            <w:pPr>
              <w:spacing w:beforeLines="40" w:before="96" w:afterLines="40" w:after="96"/>
              <w:jc w:val="center"/>
              <w:rPr>
                <w:b/>
                <w:bCs/>
                <w:color w:val="000000"/>
                <w:sz w:val="16"/>
                <w:szCs w:val="16"/>
              </w:rPr>
            </w:pPr>
            <w:r w:rsidRPr="002351A4">
              <w:rPr>
                <w:b/>
                <w:bCs/>
                <w:color w:val="000000"/>
                <w:sz w:val="16"/>
                <w:szCs w:val="16"/>
              </w:rPr>
              <w:t>15.07%</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02</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-2.58%</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-6.97%</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4.05%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6.52%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5.52%</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2.47%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1.16%</w:t>
            </w:r>
          </w:p>
        </w:tc>
        <w:tc>
          <w:tcPr>
            <w:tcW w:w="806" w:type="dxa"/>
            <w:vAlign w:val="center"/>
          </w:tcPr>
          <w:p w:rsidR="002351A4" w:rsidRPr="002351A4" w:rsidRDefault="002351A4" w:rsidP="003B4E33">
            <w:pPr>
              <w:spacing w:beforeLines="40" w:before="96" w:afterLines="40" w:after="96"/>
              <w:jc w:val="center"/>
              <w:rPr>
                <w:b/>
                <w:bCs/>
                <w:color w:val="000000"/>
                <w:sz w:val="16"/>
                <w:szCs w:val="16"/>
              </w:rPr>
            </w:pPr>
            <w:r w:rsidRPr="002351A4">
              <w:rPr>
                <w:b/>
                <w:bCs/>
                <w:color w:val="000000"/>
                <w:sz w:val="16"/>
                <w:szCs w:val="16"/>
              </w:rPr>
              <w:t>17.31%</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03</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-0.68%</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-4.74%</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-3.71%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1.87%</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4.77%</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5.92%</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3.15%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1.45%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0.58%</w:t>
            </w:r>
          </w:p>
        </w:tc>
        <w:tc>
          <w:tcPr>
            <w:tcW w:w="806" w:type="dxa"/>
            <w:vAlign w:val="center"/>
          </w:tcPr>
          <w:p w:rsidR="002351A4" w:rsidRPr="002351A4" w:rsidRDefault="002351A4" w:rsidP="003B4E33">
            <w:pPr>
              <w:spacing w:beforeLines="40" w:before="96" w:afterLines="40" w:after="96"/>
              <w:jc w:val="center"/>
              <w:rPr>
                <w:b/>
                <w:bCs/>
                <w:color w:val="000000"/>
                <w:sz w:val="16"/>
                <w:szCs w:val="16"/>
              </w:rPr>
            </w:pPr>
            <w:r w:rsidRPr="002351A4">
              <w:rPr>
                <w:b/>
                <w:bCs/>
                <w:color w:val="000000"/>
                <w:sz w:val="16"/>
                <w:szCs w:val="16"/>
              </w:rPr>
              <w:t>12.97%</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04</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0.47%</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-2.94%</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-2.87%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2.06%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5.88%</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3.07%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1.62%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0.27%</w:t>
            </w:r>
          </w:p>
        </w:tc>
        <w:tc>
          <w:tcPr>
            <w:tcW w:w="806" w:type="dxa"/>
            <w:vAlign w:val="center"/>
          </w:tcPr>
          <w:p w:rsidR="002351A4" w:rsidRPr="002351A4" w:rsidRDefault="002351A4" w:rsidP="003B4E33">
            <w:pPr>
              <w:spacing w:beforeLines="40" w:before="96" w:afterLines="40" w:after="96"/>
              <w:jc w:val="center"/>
              <w:rPr>
                <w:b/>
                <w:bCs/>
                <w:color w:val="000000"/>
                <w:sz w:val="16"/>
                <w:szCs w:val="16"/>
              </w:rPr>
            </w:pPr>
            <w:r w:rsidRPr="002351A4">
              <w:rPr>
                <w:b/>
                <w:bCs/>
                <w:color w:val="000000"/>
                <w:sz w:val="16"/>
                <w:szCs w:val="16"/>
              </w:rPr>
              <w:t>10.92%</w:t>
            </w:r>
          </w:p>
        </w:tc>
      </w:tr>
      <w:tr w:rsidR="002351A4" w:rsidRPr="00AA6F50" w:rsidTr="002351A4">
        <w:trPr>
          <w:cantSplit/>
          <w:trHeight w:val="397"/>
        </w:trPr>
        <w:tc>
          <w:tcPr>
            <w:tcW w:w="590" w:type="dxa"/>
            <w:vMerge/>
          </w:tcPr>
          <w:p w:rsidR="002351A4" w:rsidRPr="00AA6F50" w:rsidRDefault="002351A4" w:rsidP="003B4E33">
            <w:pPr>
              <w:spacing w:before="40" w:afterLines="40" w:after="96"/>
              <w:rPr>
                <w:b/>
                <w:sz w:val="16"/>
                <w:szCs w:val="24"/>
              </w:rPr>
            </w:pPr>
          </w:p>
        </w:tc>
        <w:tc>
          <w:tcPr>
            <w:tcW w:w="784" w:type="dxa"/>
            <w:tcBorders>
              <w:bottom w:val="single" w:sz="4" w:space="0" w:color="000000"/>
            </w:tcBorders>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LoserQ5</w:t>
            </w:r>
          </w:p>
        </w:tc>
        <w:tc>
          <w:tcPr>
            <w:tcW w:w="383" w:type="dxa"/>
            <w:tcBorders>
              <w:bottom w:val="single" w:sz="4" w:space="0" w:color="000000"/>
            </w:tcBorders>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05</w:t>
            </w:r>
          </w:p>
        </w:tc>
        <w:tc>
          <w:tcPr>
            <w:tcW w:w="705"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0.53%</w:t>
            </w:r>
          </w:p>
        </w:tc>
        <w:tc>
          <w:tcPr>
            <w:tcW w:w="759"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-1.74%</w:t>
            </w:r>
          </w:p>
        </w:tc>
        <w:tc>
          <w:tcPr>
            <w:tcW w:w="704"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-1.71%</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-1.16%</w:t>
            </w:r>
          </w:p>
        </w:tc>
        <w:tc>
          <w:tcPr>
            <w:tcW w:w="778"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-0.37%</w:t>
            </w:r>
          </w:p>
        </w:tc>
        <w:tc>
          <w:tcPr>
            <w:tcW w:w="778"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8.13%</w:t>
            </w:r>
          </w:p>
        </w:tc>
        <w:tc>
          <w:tcPr>
            <w:tcW w:w="784"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4.62%</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1.53%</w:t>
            </w:r>
          </w:p>
        </w:tc>
        <w:tc>
          <w:tcPr>
            <w:tcW w:w="778"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1.00%</w:t>
            </w:r>
          </w:p>
        </w:tc>
        <w:tc>
          <w:tcPr>
            <w:tcW w:w="778"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0.91%</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0.38%</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0.27%</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0.42%</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0.28%</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0.39%</w:t>
            </w:r>
          </w:p>
        </w:tc>
        <w:tc>
          <w:tcPr>
            <w:tcW w:w="707" w:type="dxa"/>
            <w:tcBorders>
              <w:bottom w:val="single" w:sz="4" w:space="0" w:color="000000"/>
            </w:tcBorders>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-0.12%</w:t>
            </w:r>
          </w:p>
        </w:tc>
        <w:tc>
          <w:tcPr>
            <w:tcW w:w="806" w:type="dxa"/>
            <w:tcBorders>
              <w:bottom w:val="single" w:sz="4" w:space="0" w:color="000000"/>
            </w:tcBorders>
            <w:vAlign w:val="center"/>
          </w:tcPr>
          <w:p w:rsidR="002351A4" w:rsidRPr="002351A4" w:rsidRDefault="002351A4" w:rsidP="003B4E33">
            <w:pPr>
              <w:spacing w:beforeLines="40" w:before="96" w:afterLines="40" w:after="96"/>
              <w:jc w:val="center"/>
              <w:rPr>
                <w:b/>
                <w:bCs/>
                <w:color w:val="000000"/>
                <w:sz w:val="16"/>
                <w:szCs w:val="16"/>
              </w:rPr>
            </w:pPr>
            <w:r w:rsidRPr="002351A4">
              <w:rPr>
                <w:b/>
                <w:bCs/>
                <w:color w:val="000000"/>
                <w:sz w:val="16"/>
                <w:szCs w:val="16"/>
              </w:rPr>
              <w:t>13.36%</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Glamour</w:t>
            </w: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06</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0.50%</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-1.21%</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-0.37%</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-0.34%</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1.38%</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6.87%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2.90%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-0.20%</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10.91%</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07</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1.40%</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-1.02%</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0.32%</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4.45%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6.31%</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1.63%</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-0.30%</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11.27%</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08</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0.83%</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-0.72%</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-0.08%</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0.02%</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2.31%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5.51%</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4.75%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-0.37%</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12.16%</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09</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0.66%</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-0.45%</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-0.01%</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0.35%</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3.19%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4.72%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3.54%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1.41%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-0.38%</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12.83%</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10</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0.81%</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-0.53%</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-0.19%</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-0.08%</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0.05%</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2.11%</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3.36%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3.58%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3.10%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1.46%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-0.37%</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13.27%</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11</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1.13%</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-0.44%</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0.04%</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0.18%</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1.95%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2.31%</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3.03%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3.35%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2.70%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-0.51%</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14.81%</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12</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1.08%</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-0.52%</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-0.24%</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0.28%</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1.86%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2.45%</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3.13%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3.19%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2.58%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-0.38%</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15.99%</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13</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1.16%</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-0.58%</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-0.05%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0.53%</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1.07%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1.16%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1.52%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1.86%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2.37%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2.98%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3.39%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2.68%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-0.47%</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18.18%</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14</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1.85%</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-0.66%</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0.76%</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0.87%</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1.20%</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2.00%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2.29%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2.96%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3.58%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2.92%</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-0.28%</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19.34%</w:t>
            </w:r>
          </w:p>
        </w:tc>
      </w:tr>
      <w:tr w:rsidR="002351A4" w:rsidRPr="00AA6F50" w:rsidTr="002351A4">
        <w:trPr>
          <w:cantSplit/>
          <w:trHeight w:val="397"/>
        </w:trPr>
        <w:tc>
          <w:tcPr>
            <w:tcW w:w="590" w:type="dxa"/>
            <w:vMerge/>
          </w:tcPr>
          <w:p w:rsidR="002351A4" w:rsidRPr="00AA6F50" w:rsidRDefault="002351A4" w:rsidP="003B4E33">
            <w:pPr>
              <w:spacing w:before="40" w:afterLines="40" w:after="96" w:line="240" w:lineRule="auto"/>
              <w:rPr>
                <w:b/>
                <w:sz w:val="16"/>
                <w:szCs w:val="24"/>
              </w:rPr>
            </w:pPr>
          </w:p>
        </w:tc>
        <w:tc>
          <w:tcPr>
            <w:tcW w:w="784" w:type="dxa"/>
            <w:vAlign w:val="center"/>
          </w:tcPr>
          <w:p w:rsidR="002351A4" w:rsidRPr="00AA6F50" w:rsidRDefault="002351A4" w:rsidP="005F4FC7">
            <w:pPr>
              <w:spacing w:after="0" w:line="240" w:lineRule="auto"/>
              <w:jc w:val="center"/>
              <w:rPr>
                <w:color w:val="000000"/>
                <w:sz w:val="16"/>
                <w:szCs w:val="22"/>
              </w:rPr>
            </w:pPr>
            <w:r w:rsidRPr="00AA6F50">
              <w:rPr>
                <w:color w:val="000000"/>
                <w:sz w:val="16"/>
                <w:szCs w:val="22"/>
              </w:rPr>
              <w:t>Value</w:t>
            </w:r>
          </w:p>
        </w:tc>
        <w:tc>
          <w:tcPr>
            <w:tcW w:w="383" w:type="dxa"/>
            <w:vAlign w:val="center"/>
          </w:tcPr>
          <w:p w:rsidR="002351A4" w:rsidRPr="00AA6F50" w:rsidRDefault="002351A4" w:rsidP="003B4E33">
            <w:pPr>
              <w:spacing w:beforeLines="40" w:before="96" w:afterLines="40" w:after="96" w:line="240" w:lineRule="auto"/>
              <w:jc w:val="center"/>
              <w:rPr>
                <w:color w:val="000000"/>
                <w:sz w:val="16"/>
                <w:szCs w:val="22"/>
              </w:rPr>
            </w:pPr>
            <w:r w:rsidRPr="00AA6F50">
              <w:rPr>
                <w:color w:val="000000"/>
                <w:sz w:val="16"/>
                <w:szCs w:val="22"/>
              </w:rPr>
              <w:t>15</w:t>
            </w:r>
          </w:p>
        </w:tc>
        <w:tc>
          <w:tcPr>
            <w:tcW w:w="705"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0.82%</w:t>
            </w:r>
          </w:p>
        </w:tc>
        <w:tc>
          <w:tcPr>
            <w:tcW w:w="759"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-1.44%</w:t>
            </w:r>
          </w:p>
        </w:tc>
        <w:tc>
          <w:tcPr>
            <w:tcW w:w="70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-0.49%</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0.18%</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0.32%</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0.55%</w:t>
            </w:r>
          </w:p>
        </w:tc>
        <w:tc>
          <w:tcPr>
            <w:tcW w:w="784"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0.71%</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1.26%</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0.95%</w:t>
            </w:r>
          </w:p>
        </w:tc>
        <w:tc>
          <w:tcPr>
            <w:tcW w:w="778"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0.98%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0.76%</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1.38%</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1.74%</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2.43%</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4.00%</w:t>
            </w:r>
          </w:p>
        </w:tc>
        <w:tc>
          <w:tcPr>
            <w:tcW w:w="707" w:type="dxa"/>
            <w:vAlign w:val="center"/>
          </w:tcPr>
          <w:p w:rsidR="002351A4" w:rsidRPr="002351A4" w:rsidRDefault="002351A4" w:rsidP="003B4E33">
            <w:pPr>
              <w:spacing w:beforeLines="40" w:before="96" w:afterLines="40" w:after="96"/>
              <w:jc w:val="center"/>
              <w:rPr>
                <w:color w:val="000000"/>
                <w:sz w:val="16"/>
                <w:szCs w:val="16"/>
              </w:rPr>
            </w:pPr>
            <w:r w:rsidRPr="002351A4">
              <w:rPr>
                <w:color w:val="000000"/>
                <w:sz w:val="16"/>
                <w:szCs w:val="16"/>
              </w:rPr>
              <w:t>4.21%</w:t>
            </w:r>
          </w:p>
        </w:tc>
        <w:tc>
          <w:tcPr>
            <w:tcW w:w="806" w:type="dxa"/>
            <w:vAlign w:val="center"/>
          </w:tcPr>
          <w:p w:rsidR="002351A4" w:rsidRPr="002351A4" w:rsidRDefault="002351A4" w:rsidP="003B4E33">
            <w:pPr>
              <w:spacing w:beforeLines="40" w:before="96" w:afterLines="40" w:after="96"/>
              <w:jc w:val="center"/>
              <w:rPr>
                <w:b/>
                <w:bCs/>
                <w:sz w:val="16"/>
                <w:szCs w:val="16"/>
              </w:rPr>
            </w:pPr>
            <w:r w:rsidRPr="002351A4">
              <w:rPr>
                <w:b/>
                <w:bCs/>
                <w:sz w:val="16"/>
                <w:szCs w:val="16"/>
              </w:rPr>
              <w:t>18.35%</w:t>
            </w:r>
          </w:p>
        </w:tc>
      </w:tr>
    </w:tbl>
    <w:p w:rsidR="002351A4" w:rsidRDefault="002351A4" w:rsidP="002351A4">
      <w:pPr>
        <w:pStyle w:val="Caption"/>
        <w:rPr>
          <w:b w:val="0"/>
          <w:sz w:val="24"/>
          <w:szCs w:val="24"/>
        </w:rPr>
      </w:pPr>
      <w:r>
        <w:t>Table 3: Expected one-</w:t>
      </w:r>
      <w:proofErr w:type="gramStart"/>
      <w:r>
        <w:t>year  returns</w:t>
      </w:r>
      <w:proofErr w:type="gramEnd"/>
      <w:r>
        <w:t xml:space="preserve"> for each decile, all US companies 1983-2009</w:t>
      </w:r>
    </w:p>
    <w:p w:rsidR="00DB620E" w:rsidRPr="00DB620E" w:rsidRDefault="00DB620E">
      <w:pPr>
        <w:spacing w:after="0" w:line="240" w:lineRule="auto"/>
        <w:rPr>
          <w:b/>
          <w:sz w:val="24"/>
          <w:szCs w:val="24"/>
        </w:rPr>
      </w:pPr>
      <w:r w:rsidRPr="00DB620E">
        <w:rPr>
          <w:b/>
          <w:sz w:val="24"/>
          <w:szCs w:val="24"/>
        </w:rPr>
        <w:br w:type="page"/>
      </w:r>
    </w:p>
    <w:p w:rsidR="006130D9" w:rsidRDefault="006130D9" w:rsidP="00BD7D34">
      <w:pPr>
        <w:spacing w:after="0" w:line="240" w:lineRule="auto"/>
        <w:rPr>
          <w:b/>
          <w:sz w:val="24"/>
          <w:szCs w:val="24"/>
        </w:rPr>
        <w:sectPr w:rsidR="006130D9" w:rsidSect="00A42957">
          <w:pgSz w:w="16838" w:h="11906" w:orient="landscape"/>
          <w:pgMar w:top="1440" w:right="1080" w:bottom="1440" w:left="1080" w:header="709" w:footer="709" w:gutter="0"/>
          <w:cols w:space="708"/>
          <w:docGrid w:linePitch="360"/>
        </w:sectPr>
      </w:pPr>
    </w:p>
    <w:p w:rsidR="00281B5B" w:rsidRDefault="00CD1178" w:rsidP="00BD7D34">
      <w:pPr>
        <w:spacing w:after="0" w:line="240" w:lineRule="auto"/>
        <w:rPr>
          <w:b/>
          <w:sz w:val="24"/>
          <w:szCs w:val="24"/>
        </w:rPr>
      </w:pPr>
      <w:r>
        <w:rPr>
          <w:b/>
          <w:sz w:val="24"/>
          <w:szCs w:val="24"/>
        </w:rPr>
        <w:lastRenderedPageBreak/>
        <w:t>Table 5</w:t>
      </w:r>
    </w:p>
    <w:p w:rsidR="00281B5B" w:rsidRDefault="00281B5B" w:rsidP="00BD7D34">
      <w:pPr>
        <w:spacing w:after="0" w:line="240" w:lineRule="auto"/>
        <w:rPr>
          <w:b/>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281B5B" w:rsidTr="00281B5B">
        <w:tc>
          <w:tcPr>
            <w:tcW w:w="2310" w:type="dxa"/>
            <w:vAlign w:val="center"/>
          </w:tcPr>
          <w:p w:rsidR="00281B5B" w:rsidRDefault="00281B5B" w:rsidP="005F4FC7">
            <w:pPr>
              <w:spacing w:before="100" w:after="100"/>
              <w:rPr>
                <w:color w:val="000000"/>
                <w:sz w:val="22"/>
                <w:szCs w:val="22"/>
              </w:rPr>
            </w:pPr>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Glamour</w:t>
            </w:r>
            <w:r w:rsidR="005F4FC7">
              <w:rPr>
                <w:color w:val="000000"/>
                <w:sz w:val="22"/>
                <w:szCs w:val="22"/>
              </w:rPr>
              <w:t xml:space="preserve"> decile</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Value</w:t>
            </w:r>
            <w:r w:rsidR="005F4FC7">
              <w:rPr>
                <w:color w:val="000000"/>
                <w:sz w:val="22"/>
                <w:szCs w:val="22"/>
              </w:rPr>
              <w:t xml:space="preserve"> decile</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All</w:t>
            </w:r>
            <w:r w:rsidR="005F4FC7">
              <w:rPr>
                <w:color w:val="000000"/>
                <w:sz w:val="22"/>
                <w:szCs w:val="22"/>
              </w:rPr>
              <w:t xml:space="preserve"> profitable companies</w:t>
            </w:r>
          </w:p>
        </w:tc>
      </w:tr>
      <w:tr w:rsidR="00281B5B" w:rsidTr="00281B5B">
        <w:tc>
          <w:tcPr>
            <w:tcW w:w="2310" w:type="dxa"/>
            <w:vAlign w:val="center"/>
          </w:tcPr>
          <w:p w:rsidR="00281B5B" w:rsidRDefault="00281B5B" w:rsidP="005F4FC7">
            <w:pPr>
              <w:spacing w:before="100" w:after="100"/>
              <w:rPr>
                <w:color w:val="000000"/>
                <w:sz w:val="22"/>
                <w:szCs w:val="22"/>
              </w:rPr>
            </w:pPr>
            <w:r>
              <w:rPr>
                <w:color w:val="000000"/>
                <w:sz w:val="22"/>
                <w:szCs w:val="22"/>
              </w:rPr>
              <w:t>Median</w:t>
            </w:r>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1.91</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0.56</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0.93</w:t>
            </w:r>
          </w:p>
        </w:tc>
      </w:tr>
      <w:tr w:rsidR="00281B5B" w:rsidTr="00281B5B">
        <w:tc>
          <w:tcPr>
            <w:tcW w:w="2310" w:type="dxa"/>
            <w:vAlign w:val="center"/>
          </w:tcPr>
          <w:p w:rsidR="00281B5B" w:rsidRDefault="00281B5B" w:rsidP="005F4FC7">
            <w:pPr>
              <w:spacing w:before="100" w:after="100"/>
              <w:rPr>
                <w:color w:val="000000"/>
                <w:sz w:val="22"/>
                <w:szCs w:val="22"/>
              </w:rPr>
            </w:pPr>
            <w:r>
              <w:rPr>
                <w:color w:val="000000"/>
                <w:sz w:val="22"/>
                <w:szCs w:val="22"/>
              </w:rPr>
              <w:t>Mean</w:t>
            </w:r>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-13.76</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0.01</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-1.24</w:t>
            </w:r>
          </w:p>
        </w:tc>
      </w:tr>
      <w:tr w:rsidR="00281B5B" w:rsidTr="00281B5B">
        <w:tc>
          <w:tcPr>
            <w:tcW w:w="2310" w:type="dxa"/>
            <w:vAlign w:val="center"/>
          </w:tcPr>
          <w:p w:rsidR="00281B5B" w:rsidRDefault="00281B5B" w:rsidP="005F4FC7">
            <w:pPr>
              <w:spacing w:before="100" w:after="100"/>
              <w:rPr>
                <w:color w:val="000000"/>
                <w:sz w:val="22"/>
                <w:szCs w:val="22"/>
              </w:rPr>
            </w:pPr>
            <w:r>
              <w:rPr>
                <w:color w:val="000000"/>
                <w:sz w:val="22"/>
                <w:szCs w:val="22"/>
              </w:rPr>
              <w:t>St</w:t>
            </w:r>
            <w:r w:rsidR="005F4FC7">
              <w:rPr>
                <w:color w:val="000000"/>
                <w:sz w:val="22"/>
                <w:szCs w:val="22"/>
              </w:rPr>
              <w:t xml:space="preserve">andard </w:t>
            </w:r>
            <w:r>
              <w:rPr>
                <w:color w:val="000000"/>
                <w:sz w:val="22"/>
                <w:szCs w:val="22"/>
              </w:rPr>
              <w:t>Dev</w:t>
            </w:r>
            <w:r w:rsidR="005F4FC7">
              <w:rPr>
                <w:color w:val="000000"/>
                <w:sz w:val="22"/>
                <w:szCs w:val="22"/>
              </w:rPr>
              <w:t>iation</w:t>
            </w:r>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406.69</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4.32</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128.56</w:t>
            </w:r>
          </w:p>
        </w:tc>
      </w:tr>
      <w:tr w:rsidR="00281B5B" w:rsidTr="00281B5B">
        <w:tc>
          <w:tcPr>
            <w:tcW w:w="2310" w:type="dxa"/>
            <w:vAlign w:val="center"/>
          </w:tcPr>
          <w:p w:rsidR="00281B5B" w:rsidRDefault="00281B5B" w:rsidP="005F4FC7">
            <w:pPr>
              <w:spacing w:before="100" w:after="100"/>
              <w:rPr>
                <w:color w:val="000000"/>
                <w:sz w:val="22"/>
                <w:szCs w:val="22"/>
              </w:rPr>
            </w:pPr>
            <w:proofErr w:type="spellStart"/>
            <w:r>
              <w:rPr>
                <w:color w:val="000000"/>
                <w:sz w:val="22"/>
                <w:szCs w:val="22"/>
              </w:rPr>
              <w:t>Skewness</w:t>
            </w:r>
            <w:proofErr w:type="spellEnd"/>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-20.43</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-17.38</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-64.44</w:t>
            </w:r>
          </w:p>
        </w:tc>
      </w:tr>
      <w:tr w:rsidR="00281B5B" w:rsidTr="00281B5B">
        <w:tc>
          <w:tcPr>
            <w:tcW w:w="2310" w:type="dxa"/>
            <w:vAlign w:val="center"/>
          </w:tcPr>
          <w:p w:rsidR="00281B5B" w:rsidRDefault="00281B5B" w:rsidP="005F4FC7">
            <w:pPr>
              <w:spacing w:before="100" w:after="100"/>
              <w:rPr>
                <w:color w:val="000000"/>
                <w:sz w:val="22"/>
                <w:szCs w:val="22"/>
              </w:rPr>
            </w:pPr>
            <w:r>
              <w:rPr>
                <w:color w:val="000000"/>
                <w:sz w:val="22"/>
                <w:szCs w:val="22"/>
              </w:rPr>
              <w:t>Kurtosis</w:t>
            </w:r>
          </w:p>
        </w:tc>
        <w:tc>
          <w:tcPr>
            <w:tcW w:w="2310" w:type="dxa"/>
            <w:vAlign w:val="center"/>
          </w:tcPr>
          <w:p w:rsidR="00281B5B" w:rsidRDefault="00281B5B" w:rsidP="005F4FC7">
            <w:pPr>
              <w:spacing w:before="100" w:after="100"/>
              <w:jc w:val="center"/>
              <w:rPr>
                <w:color w:val="000000"/>
                <w:sz w:val="22"/>
                <w:szCs w:val="22"/>
              </w:rPr>
            </w:pPr>
            <w:r>
              <w:rPr>
                <w:color w:val="000000"/>
                <w:sz w:val="22"/>
                <w:szCs w:val="22"/>
              </w:rPr>
              <w:t>1207.84</w:t>
            </w:r>
          </w:p>
        </w:tc>
        <w:tc>
          <w:tcPr>
            <w:tcW w:w="2311" w:type="dxa"/>
            <w:vAlign w:val="center"/>
          </w:tcPr>
          <w:p w:rsidR="00281B5B" w:rsidRDefault="00281B5B" w:rsidP="005F4FC7">
            <w:pPr>
              <w:spacing w:before="100" w:after="100"/>
              <w:jc w:val="center"/>
              <w:rPr>
                <w:color w:val="000000"/>
                <w:sz w:val="22"/>
                <w:szCs w:val="22"/>
              </w:rPr>
            </w:pPr>
            <w:r>
              <w:rPr>
                <w:color w:val="000000"/>
                <w:sz w:val="22"/>
                <w:szCs w:val="22"/>
              </w:rPr>
              <w:t>800.64</w:t>
            </w:r>
          </w:p>
        </w:tc>
        <w:tc>
          <w:tcPr>
            <w:tcW w:w="2311" w:type="dxa"/>
            <w:vAlign w:val="center"/>
          </w:tcPr>
          <w:p w:rsidR="00281B5B" w:rsidRDefault="00281B5B" w:rsidP="005F4FC7">
            <w:pPr>
              <w:keepNext/>
              <w:spacing w:before="100" w:after="100"/>
              <w:jc w:val="center"/>
              <w:rPr>
                <w:color w:val="000000"/>
                <w:sz w:val="22"/>
                <w:szCs w:val="22"/>
              </w:rPr>
            </w:pPr>
            <w:r>
              <w:rPr>
                <w:color w:val="000000"/>
                <w:sz w:val="22"/>
                <w:szCs w:val="22"/>
              </w:rPr>
              <w:t>12031.81</w:t>
            </w:r>
          </w:p>
        </w:tc>
      </w:tr>
    </w:tbl>
    <w:p w:rsidR="00281B5B" w:rsidRDefault="00281B5B">
      <w:pPr>
        <w:pStyle w:val="Caption"/>
      </w:pPr>
      <w:r>
        <w:t xml:space="preserve">Table </w:t>
      </w:r>
      <w:r w:rsidR="001A0EC1">
        <w:t>4</w:t>
      </w:r>
      <w:r>
        <w:t xml:space="preserve">: Summary statistics for (next year's E/P </w:t>
      </w:r>
      <w:r w:rsidR="005F4FC7">
        <w:t xml:space="preserve">expressed </w:t>
      </w:r>
      <w:r>
        <w:t>as a proportion of the current E/P), all U</w:t>
      </w:r>
      <w:r w:rsidR="005F4FC7">
        <w:t xml:space="preserve">S </w:t>
      </w:r>
      <w:r>
        <w:t>comp</w:t>
      </w:r>
      <w:r w:rsidR="005F4FC7">
        <w:t>a</w:t>
      </w:r>
      <w:r>
        <w:t>nies</w:t>
      </w:r>
      <w:r w:rsidR="005F4FC7">
        <w:t xml:space="preserve"> with positive earnings</w:t>
      </w:r>
      <w:r>
        <w:t>, the glamour decile and the value decile, 1983-2009</w:t>
      </w:r>
    </w:p>
    <w:p w:rsidR="00281B5B" w:rsidRDefault="00281B5B">
      <w:pPr>
        <w:spacing w:after="0" w:line="240" w:lineRule="auto"/>
        <w:rPr>
          <w:b/>
          <w:sz w:val="24"/>
          <w:szCs w:val="24"/>
        </w:rPr>
      </w:pPr>
      <w:r>
        <w:rPr>
          <w:b/>
          <w:sz w:val="24"/>
          <w:szCs w:val="24"/>
        </w:rPr>
        <w:br w:type="page"/>
      </w:r>
    </w:p>
    <w:p w:rsidR="001A0EC1" w:rsidRDefault="001A0EC1">
      <w:pPr>
        <w:spacing w:after="0" w:line="240" w:lineRule="auto"/>
        <w:rPr>
          <w:b/>
          <w:sz w:val="24"/>
          <w:szCs w:val="24"/>
        </w:rPr>
      </w:pPr>
      <w:r>
        <w:rPr>
          <w:b/>
          <w:sz w:val="24"/>
          <w:szCs w:val="24"/>
        </w:rPr>
        <w:lastRenderedPageBreak/>
        <w:t xml:space="preserve">Table </w:t>
      </w:r>
      <w:r w:rsidR="00CD1178">
        <w:rPr>
          <w:b/>
          <w:sz w:val="24"/>
          <w:szCs w:val="24"/>
        </w:rPr>
        <w:t>6</w:t>
      </w:r>
    </w:p>
    <w:p w:rsidR="00104DBD" w:rsidRDefault="00104DBD">
      <w:pPr>
        <w:spacing w:after="0" w:line="240" w:lineRule="auto"/>
        <w:rPr>
          <w:sz w:val="24"/>
          <w:szCs w:val="24"/>
        </w:rPr>
      </w:pPr>
    </w:p>
    <w:tbl>
      <w:tblPr>
        <w:tblStyle w:val="TableGrid"/>
        <w:tblW w:w="0" w:type="auto"/>
        <w:tblLook w:val="04A0" w:firstRow="1" w:lastRow="0" w:firstColumn="1" w:lastColumn="0" w:noHBand="0" w:noVBand="1"/>
      </w:tblPr>
      <w:tblGrid>
        <w:gridCol w:w="3369"/>
        <w:gridCol w:w="1174"/>
        <w:gridCol w:w="1175"/>
        <w:gridCol w:w="1174"/>
        <w:gridCol w:w="1175"/>
        <w:gridCol w:w="1175"/>
      </w:tblGrid>
      <w:tr w:rsidR="00104DBD" w:rsidTr="00104DBD">
        <w:tc>
          <w:tcPr>
            <w:tcW w:w="3369" w:type="dxa"/>
            <w:vAlign w:val="center"/>
          </w:tcPr>
          <w:p w:rsidR="00104DBD" w:rsidRDefault="00104DBD" w:rsidP="00104DBD">
            <w:pPr>
              <w:spacing w:after="0" w:line="240" w:lineRule="auto"/>
              <w:rPr>
                <w:b/>
                <w:sz w:val="24"/>
                <w:szCs w:val="24"/>
              </w:rPr>
            </w:pPr>
          </w:p>
        </w:tc>
        <w:tc>
          <w:tcPr>
            <w:tcW w:w="5873" w:type="dxa"/>
            <w:gridSpan w:val="5"/>
            <w:vAlign w:val="center"/>
          </w:tcPr>
          <w:p w:rsidR="00104DBD" w:rsidRPr="00104DBD" w:rsidRDefault="00104DBD" w:rsidP="00104DBD">
            <w:pPr>
              <w:spacing w:after="0" w:line="240" w:lineRule="auto"/>
              <w:jc w:val="center"/>
              <w:rPr>
                <w:sz w:val="24"/>
                <w:szCs w:val="24"/>
              </w:rPr>
            </w:pPr>
            <w:r w:rsidRPr="00104DBD">
              <w:rPr>
                <w:sz w:val="24"/>
                <w:szCs w:val="24"/>
              </w:rPr>
              <w:t>Investment horizon (years)</w:t>
            </w:r>
          </w:p>
        </w:tc>
      </w:tr>
      <w:tr w:rsidR="00104DBD" w:rsidTr="00104DBD">
        <w:tc>
          <w:tcPr>
            <w:tcW w:w="3369" w:type="dxa"/>
            <w:vAlign w:val="center"/>
          </w:tcPr>
          <w:p w:rsidR="00104DBD" w:rsidRDefault="00104DBD" w:rsidP="00104DBD">
            <w:pPr>
              <w:spacing w:after="0"/>
              <w:rPr>
                <w:color w:val="000000"/>
                <w:sz w:val="22"/>
                <w:szCs w:val="22"/>
              </w:rPr>
            </w:pPr>
          </w:p>
        </w:tc>
        <w:tc>
          <w:tcPr>
            <w:tcW w:w="1174" w:type="dxa"/>
            <w:vAlign w:val="center"/>
          </w:tcPr>
          <w:p w:rsidR="00104DBD" w:rsidRDefault="00104DBD" w:rsidP="00104DBD">
            <w:pPr>
              <w:spacing w:after="0"/>
              <w:jc w:val="center"/>
              <w:rPr>
                <w:color w:val="000000"/>
                <w:sz w:val="22"/>
                <w:szCs w:val="22"/>
              </w:rPr>
            </w:pPr>
            <w:r>
              <w:rPr>
                <w:color w:val="000000"/>
                <w:sz w:val="22"/>
                <w:szCs w:val="22"/>
              </w:rPr>
              <w:t>1</w:t>
            </w:r>
          </w:p>
        </w:tc>
        <w:tc>
          <w:tcPr>
            <w:tcW w:w="1175" w:type="dxa"/>
            <w:vAlign w:val="center"/>
          </w:tcPr>
          <w:p w:rsidR="00104DBD" w:rsidRDefault="00104DBD" w:rsidP="00104DBD">
            <w:pPr>
              <w:spacing w:after="0"/>
              <w:jc w:val="center"/>
              <w:rPr>
                <w:color w:val="000000"/>
                <w:sz w:val="22"/>
                <w:szCs w:val="22"/>
              </w:rPr>
            </w:pPr>
            <w:r>
              <w:rPr>
                <w:color w:val="000000"/>
                <w:sz w:val="22"/>
                <w:szCs w:val="22"/>
              </w:rPr>
              <w:t>2</w:t>
            </w:r>
          </w:p>
        </w:tc>
        <w:tc>
          <w:tcPr>
            <w:tcW w:w="1174" w:type="dxa"/>
            <w:vAlign w:val="center"/>
          </w:tcPr>
          <w:p w:rsidR="00104DBD" w:rsidRDefault="00104DBD" w:rsidP="00104DBD">
            <w:pPr>
              <w:spacing w:after="0"/>
              <w:jc w:val="center"/>
              <w:rPr>
                <w:color w:val="000000"/>
                <w:sz w:val="22"/>
                <w:szCs w:val="22"/>
              </w:rPr>
            </w:pPr>
            <w:r>
              <w:rPr>
                <w:color w:val="000000"/>
                <w:sz w:val="22"/>
                <w:szCs w:val="22"/>
              </w:rPr>
              <w:t>3</w:t>
            </w:r>
          </w:p>
        </w:tc>
        <w:tc>
          <w:tcPr>
            <w:tcW w:w="1175" w:type="dxa"/>
            <w:vAlign w:val="center"/>
          </w:tcPr>
          <w:p w:rsidR="00104DBD" w:rsidRDefault="00104DBD" w:rsidP="00104DBD">
            <w:pPr>
              <w:spacing w:after="0"/>
              <w:jc w:val="center"/>
              <w:rPr>
                <w:color w:val="000000"/>
                <w:sz w:val="22"/>
                <w:szCs w:val="22"/>
              </w:rPr>
            </w:pPr>
            <w:r>
              <w:rPr>
                <w:color w:val="000000"/>
                <w:sz w:val="22"/>
                <w:szCs w:val="22"/>
              </w:rPr>
              <w:t>5</w:t>
            </w:r>
          </w:p>
        </w:tc>
        <w:tc>
          <w:tcPr>
            <w:tcW w:w="1175" w:type="dxa"/>
            <w:vAlign w:val="center"/>
          </w:tcPr>
          <w:p w:rsidR="00104DBD" w:rsidRDefault="00104DBD" w:rsidP="00104DBD">
            <w:pPr>
              <w:spacing w:after="0"/>
              <w:jc w:val="center"/>
              <w:rPr>
                <w:color w:val="000000"/>
                <w:sz w:val="22"/>
                <w:szCs w:val="22"/>
              </w:rPr>
            </w:pPr>
            <w:r>
              <w:rPr>
                <w:color w:val="000000"/>
                <w:sz w:val="22"/>
                <w:szCs w:val="22"/>
              </w:rPr>
              <w:t>10</w:t>
            </w:r>
          </w:p>
        </w:tc>
      </w:tr>
      <w:tr w:rsidR="00104DBD" w:rsidTr="00104DBD">
        <w:tc>
          <w:tcPr>
            <w:tcW w:w="9242" w:type="dxa"/>
            <w:gridSpan w:val="6"/>
            <w:vAlign w:val="center"/>
          </w:tcPr>
          <w:p w:rsidR="00104DBD" w:rsidRDefault="00104DBD" w:rsidP="00104DBD">
            <w:pPr>
              <w:spacing w:after="0"/>
              <w:rPr>
                <w:color w:val="000000"/>
                <w:sz w:val="22"/>
                <w:szCs w:val="22"/>
              </w:rPr>
            </w:pPr>
            <w:r>
              <w:rPr>
                <w:color w:val="000000"/>
                <w:sz w:val="22"/>
                <w:szCs w:val="22"/>
              </w:rPr>
              <w:t>$1,000 initial investment in Loser1 decile</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$1,153.48</w:t>
            </w:r>
          </w:p>
        </w:tc>
        <w:tc>
          <w:tcPr>
            <w:tcW w:w="1175" w:type="dxa"/>
            <w:vAlign w:val="center"/>
          </w:tcPr>
          <w:p w:rsidR="00104DBD" w:rsidRDefault="00104DBD" w:rsidP="00104DBD">
            <w:pPr>
              <w:spacing w:after="0"/>
              <w:jc w:val="center"/>
              <w:rPr>
                <w:color w:val="000000"/>
                <w:sz w:val="22"/>
                <w:szCs w:val="22"/>
              </w:rPr>
            </w:pPr>
            <w:r>
              <w:rPr>
                <w:color w:val="000000"/>
                <w:sz w:val="22"/>
                <w:szCs w:val="22"/>
              </w:rPr>
              <w:t>$1,294.48</w:t>
            </w:r>
          </w:p>
        </w:tc>
        <w:tc>
          <w:tcPr>
            <w:tcW w:w="1174" w:type="dxa"/>
            <w:vAlign w:val="center"/>
          </w:tcPr>
          <w:p w:rsidR="00104DBD" w:rsidRDefault="00104DBD" w:rsidP="00104DBD">
            <w:pPr>
              <w:spacing w:after="0"/>
              <w:jc w:val="center"/>
              <w:rPr>
                <w:color w:val="000000"/>
                <w:sz w:val="22"/>
                <w:szCs w:val="22"/>
              </w:rPr>
            </w:pPr>
            <w:r>
              <w:rPr>
                <w:color w:val="000000"/>
                <w:sz w:val="22"/>
                <w:szCs w:val="22"/>
              </w:rPr>
              <w:t>$1,434.26</w:t>
            </w:r>
          </w:p>
        </w:tc>
        <w:tc>
          <w:tcPr>
            <w:tcW w:w="1175" w:type="dxa"/>
            <w:vAlign w:val="center"/>
          </w:tcPr>
          <w:p w:rsidR="00104DBD" w:rsidRDefault="00104DBD" w:rsidP="00104DBD">
            <w:pPr>
              <w:spacing w:after="0"/>
              <w:jc w:val="center"/>
              <w:rPr>
                <w:color w:val="000000"/>
                <w:sz w:val="22"/>
                <w:szCs w:val="22"/>
              </w:rPr>
            </w:pPr>
            <w:r>
              <w:rPr>
                <w:color w:val="000000"/>
                <w:sz w:val="22"/>
                <w:szCs w:val="22"/>
              </w:rPr>
              <w:t>$1,732.93</w:t>
            </w:r>
          </w:p>
        </w:tc>
        <w:tc>
          <w:tcPr>
            <w:tcW w:w="1175" w:type="dxa"/>
            <w:vAlign w:val="center"/>
          </w:tcPr>
          <w:p w:rsidR="00104DBD" w:rsidRDefault="00104DBD" w:rsidP="00104DBD">
            <w:pPr>
              <w:spacing w:after="0"/>
              <w:jc w:val="center"/>
              <w:rPr>
                <w:color w:val="000000"/>
                <w:sz w:val="22"/>
                <w:szCs w:val="22"/>
              </w:rPr>
            </w:pPr>
            <w:r>
              <w:rPr>
                <w:color w:val="000000"/>
                <w:sz w:val="22"/>
                <w:szCs w:val="22"/>
              </w:rPr>
              <w:t>$2,701.08</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15.35%</w:t>
            </w:r>
          </w:p>
        </w:tc>
        <w:tc>
          <w:tcPr>
            <w:tcW w:w="1175" w:type="dxa"/>
            <w:vAlign w:val="center"/>
          </w:tcPr>
          <w:p w:rsidR="00104DBD" w:rsidRDefault="00104DBD" w:rsidP="00104DBD">
            <w:pPr>
              <w:spacing w:after="0"/>
              <w:jc w:val="center"/>
              <w:rPr>
                <w:color w:val="000000"/>
                <w:sz w:val="22"/>
                <w:szCs w:val="22"/>
              </w:rPr>
            </w:pPr>
            <w:r>
              <w:rPr>
                <w:color w:val="000000"/>
                <w:sz w:val="22"/>
                <w:szCs w:val="22"/>
              </w:rPr>
              <w:t>13.78%</w:t>
            </w:r>
          </w:p>
        </w:tc>
        <w:tc>
          <w:tcPr>
            <w:tcW w:w="1174" w:type="dxa"/>
            <w:vAlign w:val="center"/>
          </w:tcPr>
          <w:p w:rsidR="00104DBD" w:rsidRDefault="00104DBD" w:rsidP="00104DBD">
            <w:pPr>
              <w:spacing w:after="0"/>
              <w:jc w:val="center"/>
              <w:rPr>
                <w:color w:val="000000"/>
                <w:sz w:val="22"/>
                <w:szCs w:val="22"/>
              </w:rPr>
            </w:pPr>
            <w:r>
              <w:rPr>
                <w:color w:val="000000"/>
                <w:sz w:val="22"/>
                <w:szCs w:val="22"/>
              </w:rPr>
              <w:t>12.77%</w:t>
            </w:r>
          </w:p>
        </w:tc>
        <w:tc>
          <w:tcPr>
            <w:tcW w:w="1175" w:type="dxa"/>
            <w:vAlign w:val="center"/>
          </w:tcPr>
          <w:p w:rsidR="00104DBD" w:rsidRDefault="00104DBD" w:rsidP="00104DBD">
            <w:pPr>
              <w:spacing w:after="0"/>
              <w:jc w:val="center"/>
              <w:rPr>
                <w:color w:val="000000"/>
                <w:sz w:val="22"/>
                <w:szCs w:val="22"/>
              </w:rPr>
            </w:pPr>
            <w:r>
              <w:rPr>
                <w:color w:val="000000"/>
                <w:sz w:val="22"/>
                <w:szCs w:val="22"/>
              </w:rPr>
              <w:t>11.62%</w:t>
            </w:r>
          </w:p>
        </w:tc>
        <w:tc>
          <w:tcPr>
            <w:tcW w:w="1175" w:type="dxa"/>
            <w:vAlign w:val="center"/>
          </w:tcPr>
          <w:p w:rsidR="00104DBD" w:rsidRDefault="00104DBD" w:rsidP="00104DBD">
            <w:pPr>
              <w:spacing w:after="0"/>
              <w:jc w:val="center"/>
              <w:rPr>
                <w:color w:val="000000"/>
                <w:sz w:val="22"/>
                <w:szCs w:val="22"/>
              </w:rPr>
            </w:pPr>
            <w:r>
              <w:rPr>
                <w:color w:val="000000"/>
                <w:sz w:val="22"/>
                <w:szCs w:val="22"/>
              </w:rPr>
              <w:t>10.45%</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$866.30</w:t>
            </w:r>
          </w:p>
        </w:tc>
        <w:tc>
          <w:tcPr>
            <w:tcW w:w="1175" w:type="dxa"/>
            <w:vAlign w:val="center"/>
          </w:tcPr>
          <w:p w:rsidR="00104DBD" w:rsidRDefault="00104DBD" w:rsidP="00104DBD">
            <w:pPr>
              <w:spacing w:after="0"/>
              <w:jc w:val="center"/>
              <w:rPr>
                <w:color w:val="000000"/>
                <w:sz w:val="22"/>
                <w:szCs w:val="22"/>
              </w:rPr>
            </w:pPr>
            <w:r>
              <w:rPr>
                <w:color w:val="000000"/>
                <w:sz w:val="22"/>
                <w:szCs w:val="22"/>
              </w:rPr>
              <w:t>$1,039.48</w:t>
            </w:r>
          </w:p>
        </w:tc>
        <w:tc>
          <w:tcPr>
            <w:tcW w:w="1174" w:type="dxa"/>
            <w:vAlign w:val="center"/>
          </w:tcPr>
          <w:p w:rsidR="00104DBD" w:rsidRDefault="00104DBD" w:rsidP="00104DBD">
            <w:pPr>
              <w:spacing w:after="0"/>
              <w:jc w:val="center"/>
              <w:rPr>
                <w:color w:val="000000"/>
                <w:sz w:val="22"/>
                <w:szCs w:val="22"/>
              </w:rPr>
            </w:pPr>
            <w:r>
              <w:rPr>
                <w:color w:val="000000"/>
                <w:sz w:val="22"/>
                <w:szCs w:val="22"/>
              </w:rPr>
              <w:t>$1,028.93</w:t>
            </w:r>
          </w:p>
        </w:tc>
        <w:tc>
          <w:tcPr>
            <w:tcW w:w="1175" w:type="dxa"/>
            <w:vAlign w:val="center"/>
          </w:tcPr>
          <w:p w:rsidR="00104DBD" w:rsidRDefault="00104DBD" w:rsidP="00104DBD">
            <w:pPr>
              <w:spacing w:after="0"/>
              <w:jc w:val="center"/>
              <w:rPr>
                <w:color w:val="000000"/>
                <w:sz w:val="22"/>
                <w:szCs w:val="22"/>
              </w:rPr>
            </w:pPr>
            <w:r>
              <w:rPr>
                <w:color w:val="000000"/>
                <w:sz w:val="22"/>
                <w:szCs w:val="22"/>
              </w:rPr>
              <w:t>$1,028.93</w:t>
            </w:r>
          </w:p>
        </w:tc>
        <w:tc>
          <w:tcPr>
            <w:tcW w:w="1175" w:type="dxa"/>
            <w:vAlign w:val="center"/>
          </w:tcPr>
          <w:p w:rsidR="00104DBD" w:rsidRDefault="00104DBD" w:rsidP="00104DBD">
            <w:pPr>
              <w:spacing w:after="0"/>
              <w:jc w:val="center"/>
              <w:rPr>
                <w:color w:val="000000"/>
                <w:sz w:val="22"/>
                <w:szCs w:val="22"/>
              </w:rPr>
            </w:pPr>
            <w:r>
              <w:rPr>
                <w:color w:val="000000"/>
                <w:sz w:val="22"/>
                <w:szCs w:val="22"/>
              </w:rPr>
              <w:t>$1,023.81</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-13.37%</w:t>
            </w:r>
          </w:p>
        </w:tc>
        <w:tc>
          <w:tcPr>
            <w:tcW w:w="1175" w:type="dxa"/>
            <w:vAlign w:val="center"/>
          </w:tcPr>
          <w:p w:rsidR="00104DBD" w:rsidRDefault="00104DBD" w:rsidP="00104DBD">
            <w:pPr>
              <w:spacing w:after="0"/>
              <w:jc w:val="center"/>
              <w:rPr>
                <w:color w:val="000000"/>
                <w:sz w:val="22"/>
                <w:szCs w:val="22"/>
              </w:rPr>
            </w:pPr>
            <w:r>
              <w:rPr>
                <w:color w:val="000000"/>
                <w:sz w:val="22"/>
                <w:szCs w:val="22"/>
              </w:rPr>
              <w:t>1.95%</w:t>
            </w:r>
          </w:p>
        </w:tc>
        <w:tc>
          <w:tcPr>
            <w:tcW w:w="1174" w:type="dxa"/>
            <w:vAlign w:val="center"/>
          </w:tcPr>
          <w:p w:rsidR="00104DBD" w:rsidRDefault="00104DBD" w:rsidP="00104DBD">
            <w:pPr>
              <w:spacing w:after="0"/>
              <w:jc w:val="center"/>
              <w:rPr>
                <w:color w:val="000000"/>
                <w:sz w:val="22"/>
                <w:szCs w:val="22"/>
              </w:rPr>
            </w:pPr>
            <w:r>
              <w:rPr>
                <w:color w:val="000000"/>
                <w:sz w:val="22"/>
                <w:szCs w:val="22"/>
              </w:rPr>
              <w:t>0.96%</w:t>
            </w:r>
          </w:p>
        </w:tc>
        <w:tc>
          <w:tcPr>
            <w:tcW w:w="1175" w:type="dxa"/>
            <w:vAlign w:val="center"/>
          </w:tcPr>
          <w:p w:rsidR="00104DBD" w:rsidRDefault="00104DBD" w:rsidP="00104DBD">
            <w:pPr>
              <w:spacing w:after="0"/>
              <w:jc w:val="center"/>
              <w:rPr>
                <w:color w:val="000000"/>
                <w:sz w:val="22"/>
                <w:szCs w:val="22"/>
              </w:rPr>
            </w:pPr>
            <w:r>
              <w:rPr>
                <w:color w:val="000000"/>
                <w:sz w:val="22"/>
                <w:szCs w:val="22"/>
              </w:rPr>
              <w:t>0.57%</w:t>
            </w:r>
          </w:p>
        </w:tc>
        <w:tc>
          <w:tcPr>
            <w:tcW w:w="1175" w:type="dxa"/>
            <w:vAlign w:val="center"/>
          </w:tcPr>
          <w:p w:rsidR="00104DBD" w:rsidRDefault="00104DBD" w:rsidP="00104DBD">
            <w:pPr>
              <w:spacing w:after="0"/>
              <w:jc w:val="center"/>
              <w:rPr>
                <w:color w:val="000000"/>
                <w:sz w:val="22"/>
                <w:szCs w:val="22"/>
              </w:rPr>
            </w:pPr>
            <w:r>
              <w:rPr>
                <w:color w:val="000000"/>
                <w:sz w:val="22"/>
                <w:szCs w:val="22"/>
              </w:rPr>
              <w:t>0.24%</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Standard Deviation</w:t>
            </w:r>
          </w:p>
        </w:tc>
        <w:tc>
          <w:tcPr>
            <w:tcW w:w="1174" w:type="dxa"/>
            <w:vAlign w:val="center"/>
          </w:tcPr>
          <w:p w:rsidR="00104DBD" w:rsidRDefault="00104DBD" w:rsidP="00104DBD">
            <w:pPr>
              <w:spacing w:after="0"/>
              <w:jc w:val="center"/>
              <w:rPr>
                <w:color w:val="000000"/>
                <w:sz w:val="22"/>
                <w:szCs w:val="22"/>
              </w:rPr>
            </w:pPr>
            <w:r>
              <w:rPr>
                <w:color w:val="000000"/>
                <w:sz w:val="22"/>
                <w:szCs w:val="22"/>
              </w:rPr>
              <w:t>$488.12</w:t>
            </w:r>
          </w:p>
        </w:tc>
        <w:tc>
          <w:tcPr>
            <w:tcW w:w="1175" w:type="dxa"/>
            <w:vAlign w:val="center"/>
          </w:tcPr>
          <w:p w:rsidR="00104DBD" w:rsidRDefault="00104DBD" w:rsidP="00104DBD">
            <w:pPr>
              <w:spacing w:after="0"/>
              <w:jc w:val="center"/>
              <w:rPr>
                <w:color w:val="000000"/>
                <w:sz w:val="22"/>
                <w:szCs w:val="22"/>
              </w:rPr>
            </w:pPr>
            <w:r>
              <w:rPr>
                <w:color w:val="000000"/>
                <w:sz w:val="22"/>
                <w:szCs w:val="22"/>
              </w:rPr>
              <w:t>$687.82</w:t>
            </w:r>
          </w:p>
        </w:tc>
        <w:tc>
          <w:tcPr>
            <w:tcW w:w="1174" w:type="dxa"/>
            <w:vAlign w:val="center"/>
          </w:tcPr>
          <w:p w:rsidR="00104DBD" w:rsidRDefault="00104DBD" w:rsidP="00104DBD">
            <w:pPr>
              <w:spacing w:after="0"/>
              <w:jc w:val="center"/>
              <w:rPr>
                <w:color w:val="000000"/>
                <w:sz w:val="22"/>
                <w:szCs w:val="22"/>
              </w:rPr>
            </w:pPr>
            <w:r>
              <w:rPr>
                <w:color w:val="000000"/>
                <w:sz w:val="22"/>
                <w:szCs w:val="22"/>
              </w:rPr>
              <w:t>$882.13</w:t>
            </w:r>
          </w:p>
        </w:tc>
        <w:tc>
          <w:tcPr>
            <w:tcW w:w="1175" w:type="dxa"/>
            <w:vAlign w:val="center"/>
          </w:tcPr>
          <w:p w:rsidR="00104DBD" w:rsidRDefault="00104DBD" w:rsidP="00104DBD">
            <w:pPr>
              <w:spacing w:after="0"/>
              <w:jc w:val="center"/>
              <w:rPr>
                <w:color w:val="000000"/>
                <w:sz w:val="22"/>
                <w:szCs w:val="22"/>
              </w:rPr>
            </w:pPr>
            <w:r>
              <w:rPr>
                <w:color w:val="000000"/>
                <w:sz w:val="22"/>
                <w:szCs w:val="22"/>
              </w:rPr>
              <w:t>$1,337.04</w:t>
            </w:r>
          </w:p>
        </w:tc>
        <w:tc>
          <w:tcPr>
            <w:tcW w:w="1175" w:type="dxa"/>
            <w:vAlign w:val="center"/>
          </w:tcPr>
          <w:p w:rsidR="00104DBD" w:rsidRDefault="00104DBD" w:rsidP="00104DBD">
            <w:pPr>
              <w:spacing w:after="0"/>
              <w:jc w:val="center"/>
              <w:rPr>
                <w:color w:val="000000"/>
                <w:sz w:val="22"/>
                <w:szCs w:val="22"/>
              </w:rPr>
            </w:pPr>
            <w:r>
              <w:rPr>
                <w:color w:val="000000"/>
                <w:sz w:val="22"/>
                <w:szCs w:val="22"/>
              </w:rPr>
              <w:t>$2,990.90</w:t>
            </w:r>
          </w:p>
        </w:tc>
      </w:tr>
      <w:tr w:rsidR="00B343A7" w:rsidTr="00B343A7">
        <w:tc>
          <w:tcPr>
            <w:tcW w:w="9242" w:type="dxa"/>
            <w:gridSpan w:val="6"/>
            <w:vAlign w:val="center"/>
          </w:tcPr>
          <w:p w:rsidR="00B343A7" w:rsidRDefault="00B343A7" w:rsidP="00104DBD">
            <w:pPr>
              <w:spacing w:after="0"/>
              <w:jc w:val="center"/>
              <w:rPr>
                <w:color w:val="000000"/>
                <w:sz w:val="22"/>
                <w:szCs w:val="22"/>
              </w:rPr>
            </w:pPr>
          </w:p>
        </w:tc>
      </w:tr>
      <w:tr w:rsidR="00104DBD" w:rsidTr="00104DBD">
        <w:tc>
          <w:tcPr>
            <w:tcW w:w="9242" w:type="dxa"/>
            <w:gridSpan w:val="6"/>
            <w:vAlign w:val="center"/>
          </w:tcPr>
          <w:p w:rsidR="00104DBD" w:rsidRDefault="00104DBD" w:rsidP="00104DBD">
            <w:pPr>
              <w:spacing w:after="0"/>
              <w:rPr>
                <w:color w:val="000000"/>
                <w:sz w:val="22"/>
                <w:szCs w:val="22"/>
              </w:rPr>
            </w:pPr>
            <w:r>
              <w:rPr>
                <w:color w:val="000000"/>
                <w:sz w:val="22"/>
                <w:szCs w:val="22"/>
              </w:rPr>
              <w:t>$1,000 initial investment in Glamour decile</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$1,110.56</w:t>
            </w:r>
          </w:p>
        </w:tc>
        <w:tc>
          <w:tcPr>
            <w:tcW w:w="1175" w:type="dxa"/>
            <w:vAlign w:val="center"/>
          </w:tcPr>
          <w:p w:rsidR="00104DBD" w:rsidRDefault="00104DBD" w:rsidP="00104DBD">
            <w:pPr>
              <w:spacing w:after="0"/>
              <w:jc w:val="center"/>
              <w:rPr>
                <w:color w:val="000000"/>
                <w:sz w:val="22"/>
                <w:szCs w:val="22"/>
              </w:rPr>
            </w:pPr>
            <w:r>
              <w:rPr>
                <w:color w:val="000000"/>
                <w:sz w:val="22"/>
                <w:szCs w:val="22"/>
              </w:rPr>
              <w:t>$1,237.16</w:t>
            </w:r>
          </w:p>
        </w:tc>
        <w:tc>
          <w:tcPr>
            <w:tcW w:w="1174" w:type="dxa"/>
            <w:vAlign w:val="center"/>
          </w:tcPr>
          <w:p w:rsidR="00104DBD" w:rsidRDefault="00104DBD" w:rsidP="00104DBD">
            <w:pPr>
              <w:spacing w:after="0"/>
              <w:jc w:val="center"/>
              <w:rPr>
                <w:color w:val="000000"/>
                <w:sz w:val="22"/>
                <w:szCs w:val="22"/>
              </w:rPr>
            </w:pPr>
            <w:r>
              <w:rPr>
                <w:color w:val="000000"/>
                <w:sz w:val="22"/>
                <w:szCs w:val="22"/>
              </w:rPr>
              <w:t>$1,396.43</w:t>
            </w:r>
          </w:p>
        </w:tc>
        <w:tc>
          <w:tcPr>
            <w:tcW w:w="1175" w:type="dxa"/>
            <w:vAlign w:val="center"/>
          </w:tcPr>
          <w:p w:rsidR="00104DBD" w:rsidRDefault="00104DBD" w:rsidP="00104DBD">
            <w:pPr>
              <w:spacing w:after="0"/>
              <w:jc w:val="center"/>
              <w:rPr>
                <w:color w:val="000000"/>
                <w:sz w:val="22"/>
                <w:szCs w:val="22"/>
              </w:rPr>
            </w:pPr>
            <w:r>
              <w:rPr>
                <w:color w:val="000000"/>
                <w:sz w:val="22"/>
                <w:szCs w:val="22"/>
              </w:rPr>
              <w:t>$1,734.44</w:t>
            </w:r>
          </w:p>
        </w:tc>
        <w:tc>
          <w:tcPr>
            <w:tcW w:w="1175" w:type="dxa"/>
            <w:vAlign w:val="center"/>
          </w:tcPr>
          <w:p w:rsidR="00104DBD" w:rsidRDefault="00104DBD" w:rsidP="00104DBD">
            <w:pPr>
              <w:spacing w:after="0"/>
              <w:jc w:val="center"/>
              <w:rPr>
                <w:color w:val="000000"/>
                <w:sz w:val="22"/>
                <w:szCs w:val="22"/>
              </w:rPr>
            </w:pPr>
            <w:r>
              <w:rPr>
                <w:color w:val="000000"/>
                <w:sz w:val="22"/>
                <w:szCs w:val="22"/>
              </w:rPr>
              <w:t>$2,868.92</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11.06%</w:t>
            </w:r>
          </w:p>
        </w:tc>
        <w:tc>
          <w:tcPr>
            <w:tcW w:w="1175" w:type="dxa"/>
            <w:vAlign w:val="center"/>
          </w:tcPr>
          <w:p w:rsidR="00104DBD" w:rsidRDefault="00104DBD" w:rsidP="00104DBD">
            <w:pPr>
              <w:spacing w:after="0"/>
              <w:jc w:val="center"/>
              <w:rPr>
                <w:color w:val="000000"/>
                <w:sz w:val="22"/>
                <w:szCs w:val="22"/>
              </w:rPr>
            </w:pPr>
            <w:r>
              <w:rPr>
                <w:color w:val="000000"/>
                <w:sz w:val="22"/>
                <w:szCs w:val="22"/>
              </w:rPr>
              <w:t>11.23%</w:t>
            </w:r>
          </w:p>
        </w:tc>
        <w:tc>
          <w:tcPr>
            <w:tcW w:w="1174" w:type="dxa"/>
            <w:vAlign w:val="center"/>
          </w:tcPr>
          <w:p w:rsidR="00104DBD" w:rsidRDefault="00104DBD" w:rsidP="00104DBD">
            <w:pPr>
              <w:spacing w:after="0"/>
              <w:jc w:val="center"/>
              <w:rPr>
                <w:color w:val="000000"/>
                <w:sz w:val="22"/>
                <w:szCs w:val="22"/>
              </w:rPr>
            </w:pPr>
            <w:r>
              <w:rPr>
                <w:color w:val="000000"/>
                <w:sz w:val="22"/>
                <w:szCs w:val="22"/>
              </w:rPr>
              <w:t>11.77%</w:t>
            </w:r>
          </w:p>
        </w:tc>
        <w:tc>
          <w:tcPr>
            <w:tcW w:w="1175" w:type="dxa"/>
            <w:vAlign w:val="center"/>
          </w:tcPr>
          <w:p w:rsidR="00104DBD" w:rsidRDefault="00104DBD" w:rsidP="00104DBD">
            <w:pPr>
              <w:spacing w:after="0"/>
              <w:jc w:val="center"/>
              <w:rPr>
                <w:color w:val="000000"/>
                <w:sz w:val="22"/>
                <w:szCs w:val="22"/>
              </w:rPr>
            </w:pPr>
            <w:r>
              <w:rPr>
                <w:color w:val="000000"/>
                <w:sz w:val="22"/>
                <w:szCs w:val="22"/>
              </w:rPr>
              <w:t>11.64%</w:t>
            </w:r>
          </w:p>
        </w:tc>
        <w:tc>
          <w:tcPr>
            <w:tcW w:w="1175" w:type="dxa"/>
            <w:vAlign w:val="center"/>
          </w:tcPr>
          <w:p w:rsidR="00104DBD" w:rsidRDefault="00104DBD" w:rsidP="00104DBD">
            <w:pPr>
              <w:spacing w:after="0"/>
              <w:jc w:val="center"/>
              <w:rPr>
                <w:color w:val="000000"/>
                <w:sz w:val="22"/>
                <w:szCs w:val="22"/>
              </w:rPr>
            </w:pPr>
            <w:r>
              <w:rPr>
                <w:color w:val="000000"/>
                <w:sz w:val="22"/>
                <w:szCs w:val="22"/>
              </w:rPr>
              <w:t>11.11%</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$1,124.10</w:t>
            </w:r>
          </w:p>
        </w:tc>
        <w:tc>
          <w:tcPr>
            <w:tcW w:w="1175" w:type="dxa"/>
            <w:vAlign w:val="center"/>
          </w:tcPr>
          <w:p w:rsidR="00104DBD" w:rsidRDefault="00104DBD" w:rsidP="00104DBD">
            <w:pPr>
              <w:spacing w:after="0"/>
              <w:jc w:val="center"/>
              <w:rPr>
                <w:color w:val="000000"/>
                <w:sz w:val="22"/>
                <w:szCs w:val="22"/>
              </w:rPr>
            </w:pPr>
            <w:r>
              <w:rPr>
                <w:color w:val="000000"/>
                <w:sz w:val="22"/>
                <w:szCs w:val="22"/>
              </w:rPr>
              <w:t>$1,245.06</w:t>
            </w:r>
          </w:p>
        </w:tc>
        <w:tc>
          <w:tcPr>
            <w:tcW w:w="1174" w:type="dxa"/>
            <w:vAlign w:val="center"/>
          </w:tcPr>
          <w:p w:rsidR="00104DBD" w:rsidRDefault="00104DBD" w:rsidP="00104DBD">
            <w:pPr>
              <w:spacing w:after="0"/>
              <w:jc w:val="center"/>
              <w:rPr>
                <w:color w:val="000000"/>
                <w:sz w:val="22"/>
                <w:szCs w:val="22"/>
              </w:rPr>
            </w:pPr>
            <w:r>
              <w:rPr>
                <w:color w:val="000000"/>
                <w:sz w:val="22"/>
                <w:szCs w:val="22"/>
              </w:rPr>
              <w:t>$1,392.50</w:t>
            </w:r>
          </w:p>
        </w:tc>
        <w:tc>
          <w:tcPr>
            <w:tcW w:w="1175" w:type="dxa"/>
            <w:vAlign w:val="center"/>
          </w:tcPr>
          <w:p w:rsidR="00104DBD" w:rsidRDefault="00104DBD" w:rsidP="00104DBD">
            <w:pPr>
              <w:spacing w:after="0"/>
              <w:jc w:val="center"/>
              <w:rPr>
                <w:color w:val="000000"/>
                <w:sz w:val="22"/>
                <w:szCs w:val="22"/>
              </w:rPr>
            </w:pPr>
            <w:r>
              <w:rPr>
                <w:color w:val="000000"/>
                <w:sz w:val="22"/>
                <w:szCs w:val="22"/>
              </w:rPr>
              <w:t>$1,694.42</w:t>
            </w:r>
          </w:p>
        </w:tc>
        <w:tc>
          <w:tcPr>
            <w:tcW w:w="1175" w:type="dxa"/>
            <w:vAlign w:val="center"/>
          </w:tcPr>
          <w:p w:rsidR="00104DBD" w:rsidRDefault="00104DBD" w:rsidP="00104DBD">
            <w:pPr>
              <w:spacing w:after="0"/>
              <w:jc w:val="center"/>
              <w:rPr>
                <w:color w:val="000000"/>
                <w:sz w:val="22"/>
                <w:szCs w:val="22"/>
              </w:rPr>
            </w:pPr>
            <w:r>
              <w:rPr>
                <w:color w:val="000000"/>
                <w:sz w:val="22"/>
                <w:szCs w:val="22"/>
              </w:rPr>
              <w:t>$2,435.11</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12.41%</w:t>
            </w:r>
          </w:p>
        </w:tc>
        <w:tc>
          <w:tcPr>
            <w:tcW w:w="1175" w:type="dxa"/>
            <w:vAlign w:val="center"/>
          </w:tcPr>
          <w:p w:rsidR="00104DBD" w:rsidRDefault="00104DBD" w:rsidP="00104DBD">
            <w:pPr>
              <w:spacing w:after="0"/>
              <w:jc w:val="center"/>
              <w:rPr>
                <w:color w:val="000000"/>
                <w:sz w:val="22"/>
                <w:szCs w:val="22"/>
              </w:rPr>
            </w:pPr>
            <w:r>
              <w:rPr>
                <w:color w:val="000000"/>
                <w:sz w:val="22"/>
                <w:szCs w:val="22"/>
              </w:rPr>
              <w:t>11.58%</w:t>
            </w:r>
          </w:p>
        </w:tc>
        <w:tc>
          <w:tcPr>
            <w:tcW w:w="1174" w:type="dxa"/>
            <w:vAlign w:val="center"/>
          </w:tcPr>
          <w:p w:rsidR="00104DBD" w:rsidRDefault="00104DBD" w:rsidP="00104DBD">
            <w:pPr>
              <w:spacing w:after="0"/>
              <w:jc w:val="center"/>
              <w:rPr>
                <w:color w:val="000000"/>
                <w:sz w:val="22"/>
                <w:szCs w:val="22"/>
              </w:rPr>
            </w:pPr>
            <w:r>
              <w:rPr>
                <w:color w:val="000000"/>
                <w:sz w:val="22"/>
                <w:szCs w:val="22"/>
              </w:rPr>
              <w:t>11.67%</w:t>
            </w:r>
          </w:p>
        </w:tc>
        <w:tc>
          <w:tcPr>
            <w:tcW w:w="1175" w:type="dxa"/>
            <w:vAlign w:val="center"/>
          </w:tcPr>
          <w:p w:rsidR="00104DBD" w:rsidRDefault="00104DBD" w:rsidP="00104DBD">
            <w:pPr>
              <w:spacing w:after="0"/>
              <w:jc w:val="center"/>
              <w:rPr>
                <w:color w:val="000000"/>
                <w:sz w:val="22"/>
                <w:szCs w:val="22"/>
              </w:rPr>
            </w:pPr>
            <w:r>
              <w:rPr>
                <w:color w:val="000000"/>
                <w:sz w:val="22"/>
                <w:szCs w:val="22"/>
              </w:rPr>
              <w:t>11.12%</w:t>
            </w:r>
          </w:p>
        </w:tc>
        <w:tc>
          <w:tcPr>
            <w:tcW w:w="1175" w:type="dxa"/>
            <w:vAlign w:val="center"/>
          </w:tcPr>
          <w:p w:rsidR="00104DBD" w:rsidRDefault="00104DBD" w:rsidP="00104DBD">
            <w:pPr>
              <w:spacing w:after="0"/>
              <w:jc w:val="center"/>
              <w:rPr>
                <w:color w:val="000000"/>
                <w:sz w:val="22"/>
                <w:szCs w:val="22"/>
              </w:rPr>
            </w:pPr>
            <w:r>
              <w:rPr>
                <w:color w:val="000000"/>
                <w:sz w:val="22"/>
                <w:szCs w:val="22"/>
              </w:rPr>
              <w:t>9.31%</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Standard Deviation</w:t>
            </w:r>
          </w:p>
        </w:tc>
        <w:tc>
          <w:tcPr>
            <w:tcW w:w="1174" w:type="dxa"/>
            <w:vAlign w:val="center"/>
          </w:tcPr>
          <w:p w:rsidR="00104DBD" w:rsidRDefault="00104DBD" w:rsidP="00104DBD">
            <w:pPr>
              <w:spacing w:after="0"/>
              <w:jc w:val="center"/>
              <w:rPr>
                <w:color w:val="000000"/>
                <w:sz w:val="22"/>
                <w:szCs w:val="22"/>
              </w:rPr>
            </w:pPr>
            <w:r>
              <w:rPr>
                <w:color w:val="000000"/>
                <w:sz w:val="22"/>
                <w:szCs w:val="22"/>
              </w:rPr>
              <w:t>$178.88</w:t>
            </w:r>
          </w:p>
        </w:tc>
        <w:tc>
          <w:tcPr>
            <w:tcW w:w="1175" w:type="dxa"/>
            <w:vAlign w:val="center"/>
          </w:tcPr>
          <w:p w:rsidR="00104DBD" w:rsidRDefault="00104DBD" w:rsidP="00104DBD">
            <w:pPr>
              <w:spacing w:after="0"/>
              <w:jc w:val="center"/>
              <w:rPr>
                <w:color w:val="000000"/>
                <w:sz w:val="22"/>
                <w:szCs w:val="22"/>
              </w:rPr>
            </w:pPr>
            <w:r>
              <w:rPr>
                <w:color w:val="000000"/>
                <w:sz w:val="22"/>
                <w:szCs w:val="22"/>
              </w:rPr>
              <w:t>$307.79</w:t>
            </w:r>
          </w:p>
        </w:tc>
        <w:tc>
          <w:tcPr>
            <w:tcW w:w="1174" w:type="dxa"/>
            <w:vAlign w:val="center"/>
          </w:tcPr>
          <w:p w:rsidR="00104DBD" w:rsidRDefault="00104DBD" w:rsidP="00104DBD">
            <w:pPr>
              <w:spacing w:after="0"/>
              <w:jc w:val="center"/>
              <w:rPr>
                <w:color w:val="000000"/>
                <w:sz w:val="22"/>
                <w:szCs w:val="22"/>
              </w:rPr>
            </w:pPr>
            <w:r>
              <w:rPr>
                <w:color w:val="000000"/>
                <w:sz w:val="22"/>
                <w:szCs w:val="22"/>
              </w:rPr>
              <w:t>$431.04</w:t>
            </w:r>
          </w:p>
        </w:tc>
        <w:tc>
          <w:tcPr>
            <w:tcW w:w="1175" w:type="dxa"/>
            <w:vAlign w:val="center"/>
          </w:tcPr>
          <w:p w:rsidR="00104DBD" w:rsidRDefault="00104DBD" w:rsidP="00104DBD">
            <w:pPr>
              <w:spacing w:after="0"/>
              <w:jc w:val="center"/>
              <w:rPr>
                <w:color w:val="000000"/>
                <w:sz w:val="22"/>
                <w:szCs w:val="22"/>
              </w:rPr>
            </w:pPr>
            <w:r>
              <w:rPr>
                <w:color w:val="000000"/>
                <w:sz w:val="22"/>
                <w:szCs w:val="22"/>
              </w:rPr>
              <w:t>$731.77</w:t>
            </w:r>
          </w:p>
        </w:tc>
        <w:tc>
          <w:tcPr>
            <w:tcW w:w="1175" w:type="dxa"/>
            <w:vAlign w:val="center"/>
          </w:tcPr>
          <w:p w:rsidR="00104DBD" w:rsidRDefault="00104DBD" w:rsidP="00104DBD">
            <w:pPr>
              <w:spacing w:after="0"/>
              <w:jc w:val="center"/>
              <w:rPr>
                <w:color w:val="000000"/>
                <w:sz w:val="22"/>
                <w:szCs w:val="22"/>
              </w:rPr>
            </w:pPr>
            <w:r>
              <w:rPr>
                <w:color w:val="000000"/>
                <w:sz w:val="22"/>
                <w:szCs w:val="22"/>
              </w:rPr>
              <w:t>$2,022.03</w:t>
            </w:r>
          </w:p>
        </w:tc>
      </w:tr>
      <w:tr w:rsidR="00B343A7" w:rsidTr="00B343A7">
        <w:tc>
          <w:tcPr>
            <w:tcW w:w="9242" w:type="dxa"/>
            <w:gridSpan w:val="6"/>
            <w:vAlign w:val="center"/>
          </w:tcPr>
          <w:p w:rsidR="00B343A7" w:rsidRDefault="00B343A7" w:rsidP="00104DBD">
            <w:pPr>
              <w:spacing w:after="0"/>
              <w:jc w:val="center"/>
              <w:rPr>
                <w:color w:val="000000"/>
                <w:sz w:val="22"/>
                <w:szCs w:val="22"/>
              </w:rPr>
            </w:pPr>
          </w:p>
        </w:tc>
      </w:tr>
      <w:tr w:rsidR="00104DBD" w:rsidTr="00104DBD">
        <w:tc>
          <w:tcPr>
            <w:tcW w:w="9242" w:type="dxa"/>
            <w:gridSpan w:val="6"/>
            <w:vAlign w:val="center"/>
          </w:tcPr>
          <w:p w:rsidR="00104DBD" w:rsidRDefault="00104DBD" w:rsidP="00104DBD">
            <w:pPr>
              <w:spacing w:after="0"/>
              <w:rPr>
                <w:color w:val="000000"/>
                <w:sz w:val="22"/>
                <w:szCs w:val="22"/>
              </w:rPr>
            </w:pPr>
            <w:r>
              <w:rPr>
                <w:color w:val="000000"/>
                <w:sz w:val="22"/>
                <w:szCs w:val="22"/>
              </w:rPr>
              <w:t>$1,000 initial investment in Value decile</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$1,184.45</w:t>
            </w:r>
          </w:p>
        </w:tc>
        <w:tc>
          <w:tcPr>
            <w:tcW w:w="1175" w:type="dxa"/>
            <w:vAlign w:val="center"/>
          </w:tcPr>
          <w:p w:rsidR="00104DBD" w:rsidRDefault="00104DBD" w:rsidP="00104DBD">
            <w:pPr>
              <w:spacing w:after="0"/>
              <w:jc w:val="center"/>
              <w:rPr>
                <w:color w:val="000000"/>
                <w:sz w:val="22"/>
                <w:szCs w:val="22"/>
              </w:rPr>
            </w:pPr>
            <w:r>
              <w:rPr>
                <w:color w:val="000000"/>
                <w:sz w:val="22"/>
                <w:szCs w:val="22"/>
              </w:rPr>
              <w:t>$1,364.12</w:t>
            </w:r>
          </w:p>
        </w:tc>
        <w:tc>
          <w:tcPr>
            <w:tcW w:w="1174" w:type="dxa"/>
            <w:vAlign w:val="center"/>
          </w:tcPr>
          <w:p w:rsidR="00104DBD" w:rsidRDefault="00104DBD" w:rsidP="00104DBD">
            <w:pPr>
              <w:spacing w:after="0"/>
              <w:jc w:val="center"/>
              <w:rPr>
                <w:color w:val="000000"/>
                <w:sz w:val="22"/>
                <w:szCs w:val="22"/>
              </w:rPr>
            </w:pPr>
            <w:r>
              <w:rPr>
                <w:color w:val="000000"/>
                <w:sz w:val="22"/>
                <w:szCs w:val="22"/>
              </w:rPr>
              <w:t>$1,554.29</w:t>
            </w:r>
          </w:p>
        </w:tc>
        <w:tc>
          <w:tcPr>
            <w:tcW w:w="1175" w:type="dxa"/>
            <w:vAlign w:val="center"/>
          </w:tcPr>
          <w:p w:rsidR="00104DBD" w:rsidRDefault="00104DBD" w:rsidP="00104DBD">
            <w:pPr>
              <w:spacing w:after="0"/>
              <w:jc w:val="center"/>
              <w:rPr>
                <w:color w:val="000000"/>
                <w:sz w:val="22"/>
                <w:szCs w:val="22"/>
              </w:rPr>
            </w:pPr>
            <w:r>
              <w:rPr>
                <w:color w:val="000000"/>
                <w:sz w:val="22"/>
                <w:szCs w:val="22"/>
              </w:rPr>
              <w:t>$1,957.38</w:t>
            </w:r>
          </w:p>
        </w:tc>
        <w:tc>
          <w:tcPr>
            <w:tcW w:w="1175" w:type="dxa"/>
            <w:vAlign w:val="center"/>
          </w:tcPr>
          <w:p w:rsidR="00104DBD" w:rsidRDefault="00104DBD" w:rsidP="00104DBD">
            <w:pPr>
              <w:spacing w:after="0"/>
              <w:jc w:val="center"/>
              <w:rPr>
                <w:color w:val="000000"/>
                <w:sz w:val="22"/>
                <w:szCs w:val="22"/>
              </w:rPr>
            </w:pPr>
            <w:r>
              <w:rPr>
                <w:color w:val="000000"/>
                <w:sz w:val="22"/>
                <w:szCs w:val="22"/>
              </w:rPr>
              <w:t>$3,246.61</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mean</w:t>
            </w:r>
          </w:p>
        </w:tc>
        <w:tc>
          <w:tcPr>
            <w:tcW w:w="1174" w:type="dxa"/>
            <w:vAlign w:val="center"/>
          </w:tcPr>
          <w:p w:rsidR="00104DBD" w:rsidRDefault="00104DBD" w:rsidP="00104DBD">
            <w:pPr>
              <w:spacing w:after="0"/>
              <w:jc w:val="center"/>
              <w:rPr>
                <w:color w:val="000000"/>
                <w:sz w:val="22"/>
                <w:szCs w:val="22"/>
              </w:rPr>
            </w:pPr>
            <w:r>
              <w:rPr>
                <w:color w:val="000000"/>
                <w:sz w:val="22"/>
                <w:szCs w:val="22"/>
              </w:rPr>
              <w:t>18.45%</w:t>
            </w:r>
          </w:p>
        </w:tc>
        <w:tc>
          <w:tcPr>
            <w:tcW w:w="1175" w:type="dxa"/>
            <w:vAlign w:val="center"/>
          </w:tcPr>
          <w:p w:rsidR="00104DBD" w:rsidRDefault="00104DBD" w:rsidP="00104DBD">
            <w:pPr>
              <w:spacing w:after="0"/>
              <w:jc w:val="center"/>
              <w:rPr>
                <w:color w:val="000000"/>
                <w:sz w:val="22"/>
                <w:szCs w:val="22"/>
              </w:rPr>
            </w:pPr>
            <w:r>
              <w:rPr>
                <w:color w:val="000000"/>
                <w:sz w:val="22"/>
                <w:szCs w:val="22"/>
              </w:rPr>
              <w:t>16.80%</w:t>
            </w:r>
          </w:p>
        </w:tc>
        <w:tc>
          <w:tcPr>
            <w:tcW w:w="1174" w:type="dxa"/>
            <w:vAlign w:val="center"/>
          </w:tcPr>
          <w:p w:rsidR="00104DBD" w:rsidRDefault="00104DBD" w:rsidP="00104DBD">
            <w:pPr>
              <w:spacing w:after="0"/>
              <w:jc w:val="center"/>
              <w:rPr>
                <w:color w:val="000000"/>
                <w:sz w:val="22"/>
                <w:szCs w:val="22"/>
              </w:rPr>
            </w:pPr>
            <w:r>
              <w:rPr>
                <w:color w:val="000000"/>
                <w:sz w:val="22"/>
                <w:szCs w:val="22"/>
              </w:rPr>
              <w:t>15.84%</w:t>
            </w:r>
          </w:p>
        </w:tc>
        <w:tc>
          <w:tcPr>
            <w:tcW w:w="1175" w:type="dxa"/>
            <w:vAlign w:val="center"/>
          </w:tcPr>
          <w:p w:rsidR="00104DBD" w:rsidRDefault="00104DBD" w:rsidP="00104DBD">
            <w:pPr>
              <w:spacing w:after="0"/>
              <w:jc w:val="center"/>
              <w:rPr>
                <w:color w:val="000000"/>
                <w:sz w:val="22"/>
                <w:szCs w:val="22"/>
              </w:rPr>
            </w:pPr>
            <w:r>
              <w:rPr>
                <w:color w:val="000000"/>
                <w:sz w:val="22"/>
                <w:szCs w:val="22"/>
              </w:rPr>
              <w:t>14.38%</w:t>
            </w:r>
          </w:p>
        </w:tc>
        <w:tc>
          <w:tcPr>
            <w:tcW w:w="1175" w:type="dxa"/>
            <w:vAlign w:val="center"/>
          </w:tcPr>
          <w:p w:rsidR="00104DBD" w:rsidRDefault="00104DBD" w:rsidP="00104DBD">
            <w:pPr>
              <w:spacing w:after="0"/>
              <w:jc w:val="center"/>
              <w:rPr>
                <w:color w:val="000000"/>
                <w:sz w:val="22"/>
                <w:szCs w:val="22"/>
              </w:rPr>
            </w:pPr>
            <w:r>
              <w:rPr>
                <w:color w:val="000000"/>
                <w:sz w:val="22"/>
                <w:szCs w:val="22"/>
              </w:rPr>
              <w:t>12.50%</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$1,136.90</w:t>
            </w:r>
          </w:p>
        </w:tc>
        <w:tc>
          <w:tcPr>
            <w:tcW w:w="1175" w:type="dxa"/>
            <w:vAlign w:val="center"/>
          </w:tcPr>
          <w:p w:rsidR="00104DBD" w:rsidRDefault="00104DBD" w:rsidP="00104DBD">
            <w:pPr>
              <w:spacing w:after="0"/>
              <w:jc w:val="center"/>
              <w:rPr>
                <w:color w:val="000000"/>
                <w:sz w:val="22"/>
                <w:szCs w:val="22"/>
              </w:rPr>
            </w:pPr>
            <w:r>
              <w:rPr>
                <w:color w:val="000000"/>
                <w:sz w:val="22"/>
                <w:szCs w:val="22"/>
              </w:rPr>
              <w:t>$1,378.11</w:t>
            </w:r>
          </w:p>
        </w:tc>
        <w:tc>
          <w:tcPr>
            <w:tcW w:w="1174" w:type="dxa"/>
            <w:vAlign w:val="center"/>
          </w:tcPr>
          <w:p w:rsidR="00104DBD" w:rsidRDefault="00104DBD" w:rsidP="00104DBD">
            <w:pPr>
              <w:spacing w:after="0"/>
              <w:jc w:val="center"/>
              <w:rPr>
                <w:color w:val="000000"/>
                <w:sz w:val="22"/>
                <w:szCs w:val="22"/>
              </w:rPr>
            </w:pPr>
            <w:r>
              <w:rPr>
                <w:color w:val="000000"/>
                <w:sz w:val="22"/>
                <w:szCs w:val="22"/>
              </w:rPr>
              <w:t>$1,585.10</w:t>
            </w:r>
          </w:p>
        </w:tc>
        <w:tc>
          <w:tcPr>
            <w:tcW w:w="1175" w:type="dxa"/>
            <w:vAlign w:val="center"/>
          </w:tcPr>
          <w:p w:rsidR="00104DBD" w:rsidRDefault="00104DBD" w:rsidP="00104DBD">
            <w:pPr>
              <w:spacing w:after="0"/>
              <w:jc w:val="center"/>
              <w:rPr>
                <w:color w:val="000000"/>
                <w:sz w:val="22"/>
                <w:szCs w:val="22"/>
              </w:rPr>
            </w:pPr>
            <w:r>
              <w:rPr>
                <w:color w:val="000000"/>
                <w:sz w:val="22"/>
                <w:szCs w:val="22"/>
              </w:rPr>
              <w:t>$1,981.57</w:t>
            </w:r>
          </w:p>
        </w:tc>
        <w:tc>
          <w:tcPr>
            <w:tcW w:w="1175" w:type="dxa"/>
            <w:vAlign w:val="center"/>
          </w:tcPr>
          <w:p w:rsidR="00104DBD" w:rsidRDefault="00104DBD" w:rsidP="00104DBD">
            <w:pPr>
              <w:spacing w:after="0"/>
              <w:jc w:val="center"/>
              <w:rPr>
                <w:color w:val="000000"/>
                <w:sz w:val="22"/>
                <w:szCs w:val="22"/>
              </w:rPr>
            </w:pPr>
            <w:r>
              <w:rPr>
                <w:color w:val="000000"/>
                <w:sz w:val="22"/>
                <w:szCs w:val="22"/>
              </w:rPr>
              <w:t>$2,795.90</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Compound return of median</w:t>
            </w:r>
          </w:p>
        </w:tc>
        <w:tc>
          <w:tcPr>
            <w:tcW w:w="1174" w:type="dxa"/>
            <w:vAlign w:val="center"/>
          </w:tcPr>
          <w:p w:rsidR="00104DBD" w:rsidRDefault="00104DBD" w:rsidP="00104DBD">
            <w:pPr>
              <w:spacing w:after="0"/>
              <w:jc w:val="center"/>
              <w:rPr>
                <w:color w:val="000000"/>
                <w:sz w:val="22"/>
                <w:szCs w:val="22"/>
              </w:rPr>
            </w:pPr>
            <w:r>
              <w:rPr>
                <w:color w:val="000000"/>
                <w:sz w:val="22"/>
                <w:szCs w:val="22"/>
              </w:rPr>
              <w:t>13.69%</w:t>
            </w:r>
          </w:p>
        </w:tc>
        <w:tc>
          <w:tcPr>
            <w:tcW w:w="1175" w:type="dxa"/>
            <w:vAlign w:val="center"/>
          </w:tcPr>
          <w:p w:rsidR="00104DBD" w:rsidRDefault="00104DBD" w:rsidP="00104DBD">
            <w:pPr>
              <w:spacing w:after="0"/>
              <w:jc w:val="center"/>
              <w:rPr>
                <w:color w:val="000000"/>
                <w:sz w:val="22"/>
                <w:szCs w:val="22"/>
              </w:rPr>
            </w:pPr>
            <w:r>
              <w:rPr>
                <w:color w:val="000000"/>
                <w:sz w:val="22"/>
                <w:szCs w:val="22"/>
              </w:rPr>
              <w:t>17.39%</w:t>
            </w:r>
          </w:p>
        </w:tc>
        <w:tc>
          <w:tcPr>
            <w:tcW w:w="1174" w:type="dxa"/>
            <w:vAlign w:val="center"/>
          </w:tcPr>
          <w:p w:rsidR="00104DBD" w:rsidRDefault="00104DBD" w:rsidP="00104DBD">
            <w:pPr>
              <w:spacing w:after="0"/>
              <w:jc w:val="center"/>
              <w:rPr>
                <w:color w:val="000000"/>
                <w:sz w:val="22"/>
                <w:szCs w:val="22"/>
              </w:rPr>
            </w:pPr>
            <w:r>
              <w:rPr>
                <w:color w:val="000000"/>
                <w:sz w:val="22"/>
                <w:szCs w:val="22"/>
              </w:rPr>
              <w:t>16.60%</w:t>
            </w:r>
          </w:p>
        </w:tc>
        <w:tc>
          <w:tcPr>
            <w:tcW w:w="1175" w:type="dxa"/>
            <w:vAlign w:val="center"/>
          </w:tcPr>
          <w:p w:rsidR="00104DBD" w:rsidRDefault="00104DBD" w:rsidP="00104DBD">
            <w:pPr>
              <w:spacing w:after="0"/>
              <w:jc w:val="center"/>
              <w:rPr>
                <w:color w:val="000000"/>
                <w:sz w:val="22"/>
                <w:szCs w:val="22"/>
              </w:rPr>
            </w:pPr>
            <w:r>
              <w:rPr>
                <w:color w:val="000000"/>
                <w:sz w:val="22"/>
                <w:szCs w:val="22"/>
              </w:rPr>
              <w:t>14.66%</w:t>
            </w:r>
          </w:p>
        </w:tc>
        <w:tc>
          <w:tcPr>
            <w:tcW w:w="1175" w:type="dxa"/>
            <w:vAlign w:val="center"/>
          </w:tcPr>
          <w:p w:rsidR="00104DBD" w:rsidRDefault="00104DBD" w:rsidP="00104DBD">
            <w:pPr>
              <w:spacing w:after="0"/>
              <w:jc w:val="center"/>
              <w:rPr>
                <w:color w:val="000000"/>
                <w:sz w:val="22"/>
                <w:szCs w:val="22"/>
              </w:rPr>
            </w:pPr>
            <w:r>
              <w:rPr>
                <w:color w:val="000000"/>
                <w:sz w:val="22"/>
                <w:szCs w:val="22"/>
              </w:rPr>
              <w:t>10.83%</w:t>
            </w:r>
          </w:p>
        </w:tc>
      </w:tr>
      <w:tr w:rsidR="00104DBD" w:rsidTr="00104DBD">
        <w:tc>
          <w:tcPr>
            <w:tcW w:w="3369" w:type="dxa"/>
            <w:vAlign w:val="center"/>
          </w:tcPr>
          <w:p w:rsidR="00104DBD" w:rsidRDefault="00104DBD" w:rsidP="00104DBD">
            <w:pPr>
              <w:spacing w:after="0"/>
              <w:rPr>
                <w:color w:val="000000"/>
                <w:sz w:val="22"/>
                <w:szCs w:val="22"/>
              </w:rPr>
            </w:pPr>
            <w:r>
              <w:rPr>
                <w:color w:val="000000"/>
                <w:sz w:val="22"/>
                <w:szCs w:val="22"/>
              </w:rPr>
              <w:t>Standard Deviation</w:t>
            </w:r>
          </w:p>
        </w:tc>
        <w:tc>
          <w:tcPr>
            <w:tcW w:w="1174" w:type="dxa"/>
            <w:vAlign w:val="center"/>
          </w:tcPr>
          <w:p w:rsidR="00104DBD" w:rsidRDefault="00104DBD" w:rsidP="00104DBD">
            <w:pPr>
              <w:spacing w:after="0"/>
              <w:jc w:val="center"/>
              <w:rPr>
                <w:color w:val="000000"/>
                <w:sz w:val="22"/>
                <w:szCs w:val="22"/>
              </w:rPr>
            </w:pPr>
            <w:r>
              <w:rPr>
                <w:color w:val="000000"/>
                <w:sz w:val="22"/>
                <w:szCs w:val="22"/>
              </w:rPr>
              <w:t>$175.38</w:t>
            </w:r>
          </w:p>
        </w:tc>
        <w:tc>
          <w:tcPr>
            <w:tcW w:w="1175" w:type="dxa"/>
            <w:vAlign w:val="center"/>
          </w:tcPr>
          <w:p w:rsidR="00104DBD" w:rsidRDefault="00104DBD" w:rsidP="00104DBD">
            <w:pPr>
              <w:spacing w:after="0"/>
              <w:jc w:val="center"/>
              <w:rPr>
                <w:color w:val="000000"/>
                <w:sz w:val="22"/>
                <w:szCs w:val="22"/>
              </w:rPr>
            </w:pPr>
            <w:r>
              <w:rPr>
                <w:color w:val="000000"/>
                <w:sz w:val="22"/>
                <w:szCs w:val="22"/>
              </w:rPr>
              <w:t>$319.73</w:t>
            </w:r>
          </w:p>
        </w:tc>
        <w:tc>
          <w:tcPr>
            <w:tcW w:w="1174" w:type="dxa"/>
            <w:vAlign w:val="center"/>
          </w:tcPr>
          <w:p w:rsidR="00104DBD" w:rsidRDefault="00104DBD" w:rsidP="00104DBD">
            <w:pPr>
              <w:spacing w:after="0"/>
              <w:jc w:val="center"/>
              <w:rPr>
                <w:color w:val="000000"/>
                <w:sz w:val="22"/>
                <w:szCs w:val="22"/>
              </w:rPr>
            </w:pPr>
            <w:r>
              <w:rPr>
                <w:color w:val="000000"/>
                <w:sz w:val="22"/>
                <w:szCs w:val="22"/>
              </w:rPr>
              <w:t>$474.47</w:t>
            </w:r>
          </w:p>
        </w:tc>
        <w:tc>
          <w:tcPr>
            <w:tcW w:w="1175" w:type="dxa"/>
            <w:vAlign w:val="center"/>
          </w:tcPr>
          <w:p w:rsidR="00104DBD" w:rsidRDefault="00104DBD" w:rsidP="00104DBD">
            <w:pPr>
              <w:spacing w:after="0"/>
              <w:jc w:val="center"/>
              <w:rPr>
                <w:color w:val="000000"/>
                <w:sz w:val="22"/>
                <w:szCs w:val="22"/>
              </w:rPr>
            </w:pPr>
            <w:r>
              <w:rPr>
                <w:color w:val="000000"/>
                <w:sz w:val="22"/>
                <w:szCs w:val="22"/>
              </w:rPr>
              <w:t>$816.42</w:t>
            </w:r>
          </w:p>
        </w:tc>
        <w:tc>
          <w:tcPr>
            <w:tcW w:w="1175" w:type="dxa"/>
            <w:vAlign w:val="center"/>
          </w:tcPr>
          <w:p w:rsidR="00104DBD" w:rsidRDefault="00104DBD" w:rsidP="00104DBD">
            <w:pPr>
              <w:keepNext/>
              <w:spacing w:after="0"/>
              <w:jc w:val="center"/>
              <w:rPr>
                <w:color w:val="000000"/>
                <w:sz w:val="22"/>
                <w:szCs w:val="22"/>
              </w:rPr>
            </w:pPr>
            <w:r>
              <w:rPr>
                <w:color w:val="000000"/>
                <w:sz w:val="22"/>
                <w:szCs w:val="22"/>
              </w:rPr>
              <w:t>$2,268.31</w:t>
            </w:r>
          </w:p>
        </w:tc>
      </w:tr>
    </w:tbl>
    <w:p w:rsidR="00104DBD" w:rsidRDefault="00104DBD">
      <w:pPr>
        <w:pStyle w:val="Caption"/>
      </w:pPr>
      <w:r>
        <w:t xml:space="preserve">Table </w:t>
      </w:r>
      <w:r w:rsidR="00B343A7">
        <w:t>5</w:t>
      </w:r>
      <w:r>
        <w:t xml:space="preserve">: Mean and median returns over 10,000 trials </w:t>
      </w:r>
      <w:r w:rsidR="00B343A7">
        <w:t xml:space="preserve">and holding periods of one to ten years, </w:t>
      </w:r>
      <w:r>
        <w:t>starting in three different deciles</w:t>
      </w:r>
    </w:p>
    <w:p w:rsidR="001A0EC1" w:rsidRDefault="001A0EC1">
      <w:pPr>
        <w:spacing w:after="0" w:line="240" w:lineRule="auto"/>
        <w:rPr>
          <w:b/>
          <w:sz w:val="24"/>
          <w:szCs w:val="24"/>
        </w:rPr>
      </w:pPr>
      <w:r>
        <w:rPr>
          <w:b/>
          <w:sz w:val="24"/>
          <w:szCs w:val="24"/>
        </w:rPr>
        <w:br w:type="page"/>
      </w:r>
    </w:p>
    <w:p w:rsidR="00064217" w:rsidRPr="00DB620E" w:rsidRDefault="00064217" w:rsidP="00BD7D34">
      <w:pPr>
        <w:spacing w:after="0" w:line="240" w:lineRule="auto"/>
        <w:rPr>
          <w:b/>
          <w:sz w:val="24"/>
          <w:szCs w:val="24"/>
        </w:rPr>
      </w:pPr>
      <w:r w:rsidRPr="00DB620E">
        <w:rPr>
          <w:b/>
          <w:sz w:val="24"/>
          <w:szCs w:val="24"/>
        </w:rPr>
        <w:lastRenderedPageBreak/>
        <w:t>Ch</w:t>
      </w:r>
      <w:r w:rsidR="00281B5B">
        <w:rPr>
          <w:b/>
          <w:sz w:val="24"/>
          <w:szCs w:val="24"/>
        </w:rPr>
        <w:t>art 1</w:t>
      </w:r>
    </w:p>
    <w:p w:rsidR="00DB620E" w:rsidRPr="00DB620E" w:rsidRDefault="00DB620E" w:rsidP="00DB620E">
      <w:pPr>
        <w:keepNext/>
        <w:spacing w:after="0" w:line="240" w:lineRule="auto"/>
        <w:rPr>
          <w:sz w:val="24"/>
          <w:szCs w:val="24"/>
        </w:rPr>
      </w:pPr>
      <w:r w:rsidRPr="00DB620E">
        <w:rPr>
          <w:noProof/>
          <w:sz w:val="24"/>
          <w:szCs w:val="24"/>
          <w:lang w:eastAsia="en-GB"/>
        </w:rPr>
        <w:drawing>
          <wp:inline distT="0" distB="0" distL="0" distR="0">
            <wp:extent cx="5731510" cy="374887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srcRect/>
                    <a:stretch>
                      <a:fillRect/>
                    </a:stretch>
                  </pic:blipFill>
                  <pic:spPr bwMode="auto">
                    <a:xfrm>
                      <a:off x="0" y="0"/>
                      <a:ext cx="5731510" cy="3748875"/>
                    </a:xfrm>
                    <a:prstGeom prst="rect">
                      <a:avLst/>
                    </a:prstGeom>
                    <a:noFill/>
                    <a:ln w="9525">
                      <a:noFill/>
                      <a:miter lim="800000"/>
                      <a:headEnd/>
                      <a:tailEnd/>
                    </a:ln>
                  </pic:spPr>
                </pic:pic>
              </a:graphicData>
            </a:graphic>
          </wp:inline>
        </w:drawing>
      </w:r>
    </w:p>
    <w:p w:rsidR="00DB620E" w:rsidRPr="00261B40" w:rsidRDefault="00DB620E" w:rsidP="00DB620E">
      <w:pPr>
        <w:pStyle w:val="Caption"/>
        <w:rPr>
          <w:szCs w:val="24"/>
        </w:rPr>
      </w:pPr>
      <w:r w:rsidRPr="00261B40">
        <w:rPr>
          <w:szCs w:val="24"/>
        </w:rPr>
        <w:t xml:space="preserve">Figure </w:t>
      </w:r>
      <w:r w:rsidR="00BC2457" w:rsidRPr="00261B40">
        <w:rPr>
          <w:szCs w:val="24"/>
        </w:rPr>
        <w:fldChar w:fldCharType="begin"/>
      </w:r>
      <w:r w:rsidRPr="00261B40">
        <w:rPr>
          <w:szCs w:val="24"/>
        </w:rPr>
        <w:instrText xml:space="preserve"> SEQ Figure \* ARABIC </w:instrText>
      </w:r>
      <w:r w:rsidR="00BC2457" w:rsidRPr="00261B40">
        <w:rPr>
          <w:szCs w:val="24"/>
        </w:rPr>
        <w:fldChar w:fldCharType="separate"/>
      </w:r>
      <w:r w:rsidR="00203FC7">
        <w:rPr>
          <w:noProof/>
          <w:szCs w:val="24"/>
        </w:rPr>
        <w:t>1</w:t>
      </w:r>
      <w:r w:rsidR="00BC2457" w:rsidRPr="00261B40">
        <w:rPr>
          <w:szCs w:val="24"/>
        </w:rPr>
        <w:fldChar w:fldCharType="end"/>
      </w:r>
      <w:r w:rsidRPr="00261B40">
        <w:rPr>
          <w:szCs w:val="24"/>
        </w:rPr>
        <w:t xml:space="preserve">: Number of profitable and loss-making companies on CRSP/Compustat by year, </w:t>
      </w:r>
      <w:r w:rsidR="0021597D">
        <w:rPr>
          <w:szCs w:val="24"/>
        </w:rPr>
        <w:t xml:space="preserve">all US companies </w:t>
      </w:r>
      <w:r w:rsidRPr="00261B40">
        <w:rPr>
          <w:szCs w:val="24"/>
        </w:rPr>
        <w:t>1951-2010</w:t>
      </w:r>
    </w:p>
    <w:p w:rsidR="00281B5B" w:rsidRDefault="00281B5B">
      <w:pPr>
        <w:spacing w:after="0" w:line="240" w:lineRule="auto"/>
        <w:rPr>
          <w:b/>
          <w:sz w:val="24"/>
          <w:szCs w:val="24"/>
        </w:rPr>
      </w:pPr>
      <w:r>
        <w:rPr>
          <w:b/>
          <w:sz w:val="24"/>
          <w:szCs w:val="24"/>
        </w:rPr>
        <w:br w:type="page"/>
      </w:r>
    </w:p>
    <w:p w:rsidR="00DB620E" w:rsidRPr="0021597D" w:rsidRDefault="00261B40" w:rsidP="00DB620E">
      <w:pPr>
        <w:rPr>
          <w:b/>
          <w:sz w:val="24"/>
          <w:szCs w:val="24"/>
        </w:rPr>
      </w:pPr>
      <w:r w:rsidRPr="0021597D">
        <w:rPr>
          <w:b/>
          <w:sz w:val="24"/>
          <w:szCs w:val="24"/>
        </w:rPr>
        <w:lastRenderedPageBreak/>
        <w:t>Chart 2: Percentage of Loss-Makers</w:t>
      </w:r>
    </w:p>
    <w:p w:rsidR="00261B40" w:rsidRDefault="00261B40" w:rsidP="00261B40">
      <w:pPr>
        <w:keepNext/>
      </w:pPr>
      <w:r w:rsidRPr="00261B40">
        <w:rPr>
          <w:noProof/>
          <w:szCs w:val="24"/>
          <w:lang w:eastAsia="en-GB"/>
        </w:rPr>
        <w:drawing>
          <wp:inline distT="0" distB="0" distL="0" distR="0">
            <wp:extent cx="5731510" cy="374887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srcRect/>
                    <a:stretch>
                      <a:fillRect/>
                    </a:stretch>
                  </pic:blipFill>
                  <pic:spPr bwMode="auto">
                    <a:xfrm>
                      <a:off x="0" y="0"/>
                      <a:ext cx="5731510" cy="3748875"/>
                    </a:xfrm>
                    <a:prstGeom prst="rect">
                      <a:avLst/>
                    </a:prstGeom>
                    <a:noFill/>
                    <a:ln w="9525">
                      <a:noFill/>
                      <a:miter lim="800000"/>
                      <a:headEnd/>
                      <a:tailEnd/>
                    </a:ln>
                  </pic:spPr>
                </pic:pic>
              </a:graphicData>
            </a:graphic>
          </wp:inline>
        </w:drawing>
      </w:r>
    </w:p>
    <w:p w:rsidR="00281B5B" w:rsidRDefault="00261B40" w:rsidP="00261B40">
      <w:pPr>
        <w:pStyle w:val="Caption"/>
      </w:pPr>
      <w:r>
        <w:t xml:space="preserve">Figure </w:t>
      </w:r>
      <w:r w:rsidR="004F00F3">
        <w:fldChar w:fldCharType="begin"/>
      </w:r>
      <w:r w:rsidR="004F00F3">
        <w:instrText xml:space="preserve"> SEQ Figure \* ARABIC </w:instrText>
      </w:r>
      <w:r w:rsidR="004F00F3">
        <w:fldChar w:fldCharType="separate"/>
      </w:r>
      <w:r w:rsidR="00203FC7">
        <w:rPr>
          <w:noProof/>
        </w:rPr>
        <w:t>2</w:t>
      </w:r>
      <w:r w:rsidR="004F00F3">
        <w:rPr>
          <w:noProof/>
        </w:rPr>
        <w:fldChar w:fldCharType="end"/>
      </w:r>
      <w:r>
        <w:t>: Percentage of loss-makers on CRSP/Compustat</w:t>
      </w:r>
      <w:r w:rsidR="0021597D">
        <w:t xml:space="preserve"> by year</w:t>
      </w:r>
      <w:r>
        <w:t>, all US companies 1951-2010</w:t>
      </w:r>
    </w:p>
    <w:p w:rsidR="00281B5B" w:rsidRDefault="00281B5B">
      <w:pPr>
        <w:spacing w:after="0" w:line="240" w:lineRule="auto"/>
        <w:rPr>
          <w:b/>
          <w:sz w:val="24"/>
          <w:szCs w:val="24"/>
        </w:rPr>
      </w:pPr>
      <w:r>
        <w:rPr>
          <w:b/>
          <w:sz w:val="24"/>
          <w:szCs w:val="24"/>
        </w:rPr>
        <w:br w:type="page"/>
      </w:r>
    </w:p>
    <w:p w:rsidR="00261B40" w:rsidRPr="00281B5B" w:rsidRDefault="00281B5B" w:rsidP="00DB620E">
      <w:pPr>
        <w:rPr>
          <w:b/>
          <w:color w:val="4F81BD" w:themeColor="accent1"/>
          <w:sz w:val="18"/>
          <w:szCs w:val="18"/>
        </w:rPr>
      </w:pPr>
      <w:r w:rsidRPr="00281B5B">
        <w:rPr>
          <w:b/>
          <w:sz w:val="24"/>
          <w:szCs w:val="24"/>
        </w:rPr>
        <w:lastRenderedPageBreak/>
        <w:t>Chart 3</w:t>
      </w:r>
    </w:p>
    <w:p w:rsidR="00281B5B" w:rsidRDefault="00281B5B" w:rsidP="00281B5B">
      <w:pPr>
        <w:keepNext/>
      </w:pPr>
      <w:r w:rsidRPr="00281B5B">
        <w:rPr>
          <w:noProof/>
          <w:szCs w:val="24"/>
          <w:lang w:eastAsia="en-GB"/>
        </w:rPr>
        <w:drawing>
          <wp:inline distT="0" distB="0" distL="0" distR="0">
            <wp:extent cx="5731510" cy="3750681"/>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srcRect/>
                    <a:stretch>
                      <a:fillRect/>
                    </a:stretch>
                  </pic:blipFill>
                  <pic:spPr bwMode="auto">
                    <a:xfrm>
                      <a:off x="0" y="0"/>
                      <a:ext cx="5731510" cy="3750681"/>
                    </a:xfrm>
                    <a:prstGeom prst="rect">
                      <a:avLst/>
                    </a:prstGeom>
                    <a:noFill/>
                    <a:ln w="9525">
                      <a:noFill/>
                      <a:miter lim="800000"/>
                      <a:headEnd/>
                      <a:tailEnd/>
                    </a:ln>
                  </pic:spPr>
                </pic:pic>
              </a:graphicData>
            </a:graphic>
          </wp:inline>
        </w:drawing>
      </w:r>
    </w:p>
    <w:p w:rsidR="00281B5B" w:rsidRDefault="00281B5B" w:rsidP="00281B5B">
      <w:pPr>
        <w:pStyle w:val="Caption"/>
      </w:pPr>
      <w:r>
        <w:t xml:space="preserve">Figure </w:t>
      </w:r>
      <w:r w:rsidR="004F00F3">
        <w:fldChar w:fldCharType="begin"/>
      </w:r>
      <w:r w:rsidR="004F00F3">
        <w:instrText xml:space="preserve"> SEQ Figure \* ARABIC </w:instrText>
      </w:r>
      <w:r w:rsidR="004F00F3">
        <w:fldChar w:fldCharType="separate"/>
      </w:r>
      <w:r w:rsidR="00203FC7">
        <w:rPr>
          <w:noProof/>
        </w:rPr>
        <w:t>3</w:t>
      </w:r>
      <w:r w:rsidR="004F00F3">
        <w:rPr>
          <w:noProof/>
        </w:rPr>
        <w:fldChar w:fldCharType="end"/>
      </w:r>
      <w:r>
        <w:t>: Distribution of next year's E/P expressed as a proportion of the current E/P, all US companies 1983-2009</w:t>
      </w:r>
    </w:p>
    <w:p w:rsidR="0043342D" w:rsidRDefault="0043342D">
      <w:pPr>
        <w:spacing w:after="0" w:line="240" w:lineRule="auto"/>
      </w:pPr>
      <w:r>
        <w:br w:type="page"/>
      </w:r>
    </w:p>
    <w:p w:rsidR="0043342D" w:rsidRPr="00554099" w:rsidRDefault="0043342D" w:rsidP="0043342D">
      <w:pPr>
        <w:rPr>
          <w:b/>
          <w:sz w:val="24"/>
        </w:rPr>
      </w:pPr>
      <w:r w:rsidRPr="00554099">
        <w:rPr>
          <w:b/>
          <w:sz w:val="24"/>
        </w:rPr>
        <w:lastRenderedPageBreak/>
        <w:t>Chart4</w:t>
      </w:r>
    </w:p>
    <w:p w:rsidR="00554099" w:rsidRDefault="0043342D" w:rsidP="00554099">
      <w:pPr>
        <w:keepNext/>
      </w:pPr>
      <w:r w:rsidRPr="0043342D">
        <w:rPr>
          <w:noProof/>
          <w:lang w:eastAsia="en-GB"/>
        </w:rPr>
        <w:drawing>
          <wp:inline distT="0" distB="0" distL="0" distR="0">
            <wp:extent cx="5731510" cy="3750681"/>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srcRect/>
                    <a:stretch>
                      <a:fillRect/>
                    </a:stretch>
                  </pic:blipFill>
                  <pic:spPr bwMode="auto">
                    <a:xfrm>
                      <a:off x="0" y="0"/>
                      <a:ext cx="5731510" cy="3750681"/>
                    </a:xfrm>
                    <a:prstGeom prst="rect">
                      <a:avLst/>
                    </a:prstGeom>
                    <a:noFill/>
                    <a:ln w="9525">
                      <a:noFill/>
                      <a:miter lim="800000"/>
                      <a:headEnd/>
                      <a:tailEnd/>
                    </a:ln>
                  </pic:spPr>
                </pic:pic>
              </a:graphicData>
            </a:graphic>
          </wp:inline>
        </w:drawing>
      </w:r>
    </w:p>
    <w:p w:rsidR="0043342D" w:rsidRDefault="00554099" w:rsidP="00554099">
      <w:pPr>
        <w:pStyle w:val="Caption"/>
      </w:pPr>
      <w:r>
        <w:t xml:space="preserve">Figure </w:t>
      </w:r>
      <w:r w:rsidR="004F00F3">
        <w:fldChar w:fldCharType="begin"/>
      </w:r>
      <w:r w:rsidR="004F00F3">
        <w:instrText xml:space="preserve"> SEQ Figure \* ARABIC </w:instrText>
      </w:r>
      <w:r w:rsidR="004F00F3">
        <w:fldChar w:fldCharType="separate"/>
      </w:r>
      <w:r w:rsidR="00203FC7">
        <w:rPr>
          <w:noProof/>
        </w:rPr>
        <w:t>4</w:t>
      </w:r>
      <w:r w:rsidR="004F00F3">
        <w:rPr>
          <w:noProof/>
        </w:rPr>
        <w:fldChar w:fldCharType="end"/>
      </w:r>
      <w:r>
        <w:t>: Distribution of value and glamour companies across deciles in year 2, all US companies 1983-2010</w:t>
      </w:r>
    </w:p>
    <w:p w:rsidR="00F70385" w:rsidRDefault="00F70385">
      <w:pPr>
        <w:spacing w:after="0" w:line="240" w:lineRule="auto"/>
      </w:pPr>
      <w:r>
        <w:br w:type="page"/>
      </w:r>
    </w:p>
    <w:p w:rsidR="00F70385" w:rsidRDefault="00F70385" w:rsidP="00F70385">
      <w:pPr>
        <w:rPr>
          <w:b/>
          <w:sz w:val="24"/>
        </w:rPr>
      </w:pPr>
      <w:r w:rsidRPr="00F70385">
        <w:rPr>
          <w:b/>
          <w:sz w:val="24"/>
        </w:rPr>
        <w:lastRenderedPageBreak/>
        <w:t>Chart 5</w:t>
      </w:r>
    </w:p>
    <w:p w:rsidR="00F70385" w:rsidRDefault="00F70385" w:rsidP="00F70385">
      <w:pPr>
        <w:keepNext/>
      </w:pPr>
      <w:r w:rsidRPr="00F70385">
        <w:rPr>
          <w:noProof/>
          <w:lang w:eastAsia="en-GB"/>
        </w:rPr>
        <w:drawing>
          <wp:inline distT="0" distB="0" distL="0" distR="0">
            <wp:extent cx="5731510" cy="3750681"/>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srcRect/>
                    <a:stretch>
                      <a:fillRect/>
                    </a:stretch>
                  </pic:blipFill>
                  <pic:spPr bwMode="auto">
                    <a:xfrm>
                      <a:off x="0" y="0"/>
                      <a:ext cx="5731510" cy="3750681"/>
                    </a:xfrm>
                    <a:prstGeom prst="rect">
                      <a:avLst/>
                    </a:prstGeom>
                    <a:noFill/>
                    <a:ln w="9525">
                      <a:noFill/>
                      <a:miter lim="800000"/>
                      <a:headEnd/>
                      <a:tailEnd/>
                    </a:ln>
                  </pic:spPr>
                </pic:pic>
              </a:graphicData>
            </a:graphic>
          </wp:inline>
        </w:drawing>
      </w:r>
    </w:p>
    <w:p w:rsidR="00F70385" w:rsidRDefault="00F70385" w:rsidP="00F70385">
      <w:pPr>
        <w:pStyle w:val="Caption"/>
      </w:pPr>
      <w:r>
        <w:t xml:space="preserve">Figure </w:t>
      </w:r>
      <w:r w:rsidR="004F00F3">
        <w:fldChar w:fldCharType="begin"/>
      </w:r>
      <w:r w:rsidR="004F00F3">
        <w:instrText xml:space="preserve"> SEQ Figure \* ARABIC </w:instrText>
      </w:r>
      <w:r w:rsidR="004F00F3">
        <w:fldChar w:fldCharType="separate"/>
      </w:r>
      <w:r w:rsidR="00203FC7">
        <w:rPr>
          <w:noProof/>
        </w:rPr>
        <w:t>5</w:t>
      </w:r>
      <w:r w:rsidR="004F00F3">
        <w:rPr>
          <w:noProof/>
        </w:rPr>
        <w:fldChar w:fldCharType="end"/>
      </w:r>
      <w:r>
        <w:t>: Distribution of next year's E/P across deciles for glamour shares: observed, approximated by a truncated Cauchy distribution, and with the scale parameter reduced by 18% so as to give returns equal to that for all shares. All US companies 1983-2009</w:t>
      </w:r>
    </w:p>
    <w:p w:rsidR="0078485A" w:rsidRDefault="0078485A">
      <w:pPr>
        <w:spacing w:after="0" w:line="240" w:lineRule="auto"/>
      </w:pPr>
      <w:r>
        <w:br w:type="page"/>
      </w:r>
    </w:p>
    <w:p w:rsidR="0078485A" w:rsidRPr="0031267E" w:rsidRDefault="0078485A" w:rsidP="0078485A">
      <w:pPr>
        <w:rPr>
          <w:b/>
        </w:rPr>
      </w:pPr>
      <w:r w:rsidRPr="0031267E">
        <w:rPr>
          <w:b/>
        </w:rPr>
        <w:lastRenderedPageBreak/>
        <w:t>Chart 6</w:t>
      </w:r>
    </w:p>
    <w:p w:rsidR="000A7440" w:rsidRDefault="000A7440" w:rsidP="000A7440">
      <w:pPr>
        <w:keepNext/>
        <w:jc w:val="center"/>
      </w:pPr>
      <w:r>
        <w:rPr>
          <w:noProof/>
          <w:lang w:eastAsia="en-GB"/>
        </w:rPr>
        <w:drawing>
          <wp:inline distT="0" distB="0" distL="0" distR="0">
            <wp:extent cx="2930726" cy="7486650"/>
            <wp:effectExtent l="19050" t="1905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ciles.jpeg"/>
                    <pic:cNvPicPr/>
                  </pic:nvPicPr>
                  <pic:blipFill>
                    <a:blip r:embed="rId182">
                      <a:extLst>
                        <a:ext uri="{28A0092B-C50C-407E-A947-70E740481C1C}">
                          <a14:useLocalDpi xmlns:a14="http://schemas.microsoft.com/office/drawing/2010/main" val="0"/>
                        </a:ext>
                      </a:extLst>
                    </a:blip>
                    <a:stretch>
                      <a:fillRect/>
                    </a:stretch>
                  </pic:blipFill>
                  <pic:spPr>
                    <a:xfrm>
                      <a:off x="0" y="0"/>
                      <a:ext cx="2934450" cy="7496162"/>
                    </a:xfrm>
                    <a:prstGeom prst="rect">
                      <a:avLst/>
                    </a:prstGeom>
                    <a:ln w="3175">
                      <a:solidFill>
                        <a:schemeClr val="tx1"/>
                      </a:solidFill>
                    </a:ln>
                  </pic:spPr>
                </pic:pic>
              </a:graphicData>
            </a:graphic>
          </wp:inline>
        </w:drawing>
      </w:r>
    </w:p>
    <w:p w:rsidR="0078485A" w:rsidRDefault="000A7440" w:rsidP="000A7440">
      <w:pPr>
        <w:pStyle w:val="Caption"/>
        <w:jc w:val="both"/>
      </w:pPr>
      <w:r>
        <w:t xml:space="preserve">Figure </w:t>
      </w:r>
      <w:r w:rsidR="004F00F3">
        <w:fldChar w:fldCharType="begin"/>
      </w:r>
      <w:r w:rsidR="004F00F3">
        <w:instrText xml:space="preserve"> SEQ Figure \* ARABIC </w:instrText>
      </w:r>
      <w:r w:rsidR="004F00F3">
        <w:fldChar w:fldCharType="separate"/>
      </w:r>
      <w:r w:rsidR="00203FC7">
        <w:rPr>
          <w:noProof/>
        </w:rPr>
        <w:t>6</w:t>
      </w:r>
      <w:r w:rsidR="004F00F3">
        <w:rPr>
          <w:noProof/>
        </w:rPr>
        <w:fldChar w:fldCharType="end"/>
      </w:r>
      <w:r>
        <w:t xml:space="preserve">: Markov model of the moves between P/E deciles. In this </w:t>
      </w:r>
      <w:r w:rsidR="00C03BCE">
        <w:t>example</w:t>
      </w:r>
      <w:r>
        <w:t xml:space="preserve"> the investor starts with an L1 stock (the most extreme loser stocks) </w:t>
      </w:r>
      <w:r w:rsidR="0031267E">
        <w:t xml:space="preserve">with probability 1, </w:t>
      </w:r>
      <w:r>
        <w:t xml:space="preserve">but then </w:t>
      </w:r>
      <w:r w:rsidR="0031267E">
        <w:t xml:space="preserve">may </w:t>
      </w:r>
      <w:r>
        <w:t>move next year to any one of the other 15 states, depending on the lookup in the table of transition probabilities as in Table 1. States L5, Glamour, D2-D9 and Value are omitted due to scale limitations.</w:t>
      </w:r>
    </w:p>
    <w:p w:rsidR="0031267E" w:rsidRDefault="0031267E">
      <w:pPr>
        <w:spacing w:after="0" w:line="240" w:lineRule="auto"/>
      </w:pPr>
      <w:r>
        <w:br w:type="page"/>
      </w:r>
    </w:p>
    <w:p w:rsidR="0031267E" w:rsidRPr="0031267E" w:rsidRDefault="0031267E" w:rsidP="0031267E">
      <w:pPr>
        <w:rPr>
          <w:b/>
        </w:rPr>
      </w:pPr>
      <w:r w:rsidRPr="0031267E">
        <w:rPr>
          <w:b/>
        </w:rPr>
        <w:lastRenderedPageBreak/>
        <w:t>Chart 7</w:t>
      </w:r>
    </w:p>
    <w:p w:rsidR="0031267E" w:rsidRDefault="0031267E" w:rsidP="0031267E">
      <w:pPr>
        <w:keepNext/>
      </w:pPr>
      <w:r>
        <w:rPr>
          <w:noProof/>
          <w:lang w:eastAsia="en-GB"/>
        </w:rPr>
        <w:drawing>
          <wp:inline distT="0" distB="0" distL="0" distR="0">
            <wp:extent cx="5731510" cy="5628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cilesSTD.jpeg"/>
                    <pic:cNvPicPr/>
                  </pic:nvPicPr>
                  <pic:blipFill>
                    <a:blip r:embed="rId183">
                      <a:extLst>
                        <a:ext uri="{28A0092B-C50C-407E-A947-70E740481C1C}">
                          <a14:useLocalDpi xmlns:a14="http://schemas.microsoft.com/office/drawing/2010/main" val="0"/>
                        </a:ext>
                      </a:extLst>
                    </a:blip>
                    <a:stretch>
                      <a:fillRect/>
                    </a:stretch>
                  </pic:blipFill>
                  <pic:spPr>
                    <a:xfrm>
                      <a:off x="0" y="0"/>
                      <a:ext cx="5731510" cy="5628640"/>
                    </a:xfrm>
                    <a:prstGeom prst="rect">
                      <a:avLst/>
                    </a:prstGeom>
                  </pic:spPr>
                </pic:pic>
              </a:graphicData>
            </a:graphic>
          </wp:inline>
        </w:drawing>
      </w:r>
    </w:p>
    <w:p w:rsidR="0031267E" w:rsidRPr="0031267E" w:rsidRDefault="0031267E" w:rsidP="0031267E">
      <w:pPr>
        <w:pStyle w:val="Caption"/>
        <w:jc w:val="both"/>
      </w:pPr>
      <w:r>
        <w:t xml:space="preserve">Figure </w:t>
      </w:r>
      <w:r w:rsidR="004F00F3">
        <w:fldChar w:fldCharType="begin"/>
      </w:r>
      <w:r w:rsidR="004F00F3">
        <w:instrText xml:space="preserve"> SEQ Figure \* ARABIC </w:instrText>
      </w:r>
      <w:r w:rsidR="004F00F3">
        <w:fldChar w:fldCharType="separate"/>
      </w:r>
      <w:r w:rsidR="00203FC7">
        <w:rPr>
          <w:noProof/>
        </w:rPr>
        <w:t>7</w:t>
      </w:r>
      <w:r w:rsidR="004F00F3">
        <w:rPr>
          <w:noProof/>
        </w:rPr>
        <w:fldChar w:fldCharType="end"/>
      </w:r>
      <w:r>
        <w:t xml:space="preserve">: Markov model state transition diagram. </w:t>
      </w:r>
      <w:r w:rsidR="00C03BCE">
        <w:t xml:space="preserve">The investor enters a chosen state with probability 1 (chooses which P/E decile to buy into). </w:t>
      </w:r>
      <w:r>
        <w:t>Each state may return to the same state next year or move to any of the other 15 states, except for the Dead state which terminates.</w:t>
      </w:r>
    </w:p>
    <w:p w:rsidR="007767A4" w:rsidRDefault="007767A4">
      <w:pPr>
        <w:spacing w:after="0" w:line="240" w:lineRule="auto"/>
      </w:pPr>
      <w:r>
        <w:br w:type="page"/>
      </w:r>
    </w:p>
    <w:p w:rsidR="0031267E" w:rsidRPr="007767A4" w:rsidRDefault="007767A4" w:rsidP="0031267E">
      <w:pPr>
        <w:rPr>
          <w:b/>
        </w:rPr>
      </w:pPr>
      <w:r w:rsidRPr="007767A4">
        <w:rPr>
          <w:b/>
        </w:rPr>
        <w:lastRenderedPageBreak/>
        <w:t>Chart 8</w:t>
      </w:r>
    </w:p>
    <w:p w:rsidR="007767A4" w:rsidRDefault="007767A4" w:rsidP="007767A4">
      <w:pPr>
        <w:keepNext/>
      </w:pPr>
      <w:r w:rsidRPr="007767A4">
        <w:rPr>
          <w:noProof/>
          <w:lang w:eastAsia="en-GB"/>
        </w:rPr>
        <w:drawing>
          <wp:inline distT="0" distB="0" distL="0" distR="0">
            <wp:extent cx="5731510" cy="37448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3744821"/>
                    </a:xfrm>
                    <a:prstGeom prst="rect">
                      <a:avLst/>
                    </a:prstGeom>
                    <a:noFill/>
                    <a:ln>
                      <a:noFill/>
                    </a:ln>
                  </pic:spPr>
                </pic:pic>
              </a:graphicData>
            </a:graphic>
          </wp:inline>
        </w:drawing>
      </w:r>
    </w:p>
    <w:p w:rsidR="007767A4" w:rsidRPr="0031267E" w:rsidRDefault="007767A4" w:rsidP="00C03BCE">
      <w:pPr>
        <w:pStyle w:val="Caption"/>
        <w:jc w:val="both"/>
      </w:pPr>
      <w:r>
        <w:t xml:space="preserve">Figure </w:t>
      </w:r>
      <w:r w:rsidR="004F00F3">
        <w:fldChar w:fldCharType="begin"/>
      </w:r>
      <w:r w:rsidR="004F00F3">
        <w:instrText xml:space="preserve"> SEQ Figure \* ARABIC </w:instrText>
      </w:r>
      <w:r w:rsidR="004F00F3">
        <w:fldChar w:fldCharType="separate"/>
      </w:r>
      <w:r w:rsidR="00203FC7">
        <w:rPr>
          <w:noProof/>
        </w:rPr>
        <w:t>8</w:t>
      </w:r>
      <w:r w:rsidR="004F00F3">
        <w:rPr>
          <w:noProof/>
        </w:rPr>
        <w:fldChar w:fldCharType="end"/>
      </w:r>
      <w:r>
        <w:t xml:space="preserve">: Average time in state over </w:t>
      </w:r>
      <w:r w:rsidR="00C03BCE">
        <w:t xml:space="preserve">the </w:t>
      </w:r>
      <w:r>
        <w:t xml:space="preserve">nine subsequent years </w:t>
      </w:r>
      <w:r w:rsidR="00C03BCE">
        <w:t xml:space="preserve">of a ten-year horizon </w:t>
      </w:r>
      <w:r>
        <w:t>for initial investments in the extreme loser, glamour and value deciles</w:t>
      </w:r>
    </w:p>
    <w:p w:rsidR="000A7440" w:rsidRPr="0078485A" w:rsidRDefault="000A7440" w:rsidP="0078485A"/>
    <w:sectPr w:rsidR="000A7440" w:rsidRPr="0078485A" w:rsidSect="00E026F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827" w:rsidRDefault="00411827">
      <w:r>
        <w:separator/>
      </w:r>
    </w:p>
  </w:endnote>
  <w:endnote w:type="continuationSeparator" w:id="0">
    <w:p w:rsidR="00411827" w:rsidRDefault="00411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27" w:rsidRDefault="00411827" w:rsidP="003111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1827" w:rsidRDefault="00411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27" w:rsidRDefault="00411827" w:rsidP="003111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3FC7">
      <w:rPr>
        <w:rStyle w:val="PageNumber"/>
        <w:noProof/>
      </w:rPr>
      <w:t>22</w:t>
    </w:r>
    <w:r>
      <w:rPr>
        <w:rStyle w:val="PageNumber"/>
      </w:rPr>
      <w:fldChar w:fldCharType="end"/>
    </w:r>
  </w:p>
  <w:p w:rsidR="00411827" w:rsidRDefault="00411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827" w:rsidRDefault="00411827">
      <w:r>
        <w:separator/>
      </w:r>
    </w:p>
  </w:footnote>
  <w:footnote w:type="continuationSeparator" w:id="0">
    <w:p w:rsidR="00411827" w:rsidRDefault="004118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80034"/>
    <w:multiLevelType w:val="hybridMultilevel"/>
    <w:tmpl w:val="B7A25210"/>
    <w:lvl w:ilvl="0" w:tplc="AFC80F3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F141EE"/>
    <w:multiLevelType w:val="hybridMultilevel"/>
    <w:tmpl w:val="ED02E9EE"/>
    <w:lvl w:ilvl="0" w:tplc="98F214F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E65E8D"/>
    <w:multiLevelType w:val="hybridMultilevel"/>
    <w:tmpl w:val="7ABE6B7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69FF2CFC"/>
    <w:multiLevelType w:val="hybridMultilevel"/>
    <w:tmpl w:val="0E30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A8448C"/>
    <w:multiLevelType w:val="hybridMultilevel"/>
    <w:tmpl w:val="F94C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01E"/>
    <w:rsid w:val="0000011B"/>
    <w:rsid w:val="00000792"/>
    <w:rsid w:val="000051A4"/>
    <w:rsid w:val="0004406E"/>
    <w:rsid w:val="00045404"/>
    <w:rsid w:val="000475C6"/>
    <w:rsid w:val="00054E34"/>
    <w:rsid w:val="00064217"/>
    <w:rsid w:val="00064842"/>
    <w:rsid w:val="00074137"/>
    <w:rsid w:val="0008672C"/>
    <w:rsid w:val="00086F1F"/>
    <w:rsid w:val="00091A35"/>
    <w:rsid w:val="00094BE3"/>
    <w:rsid w:val="000A7440"/>
    <w:rsid w:val="000B51E2"/>
    <w:rsid w:val="000C1B0E"/>
    <w:rsid w:val="000D4ABB"/>
    <w:rsid w:val="000D7F38"/>
    <w:rsid w:val="000E0ACC"/>
    <w:rsid w:val="000E2857"/>
    <w:rsid w:val="000E3296"/>
    <w:rsid w:val="000F4082"/>
    <w:rsid w:val="000F507F"/>
    <w:rsid w:val="00104DBD"/>
    <w:rsid w:val="00111556"/>
    <w:rsid w:val="00115736"/>
    <w:rsid w:val="001170DC"/>
    <w:rsid w:val="001323AA"/>
    <w:rsid w:val="00134491"/>
    <w:rsid w:val="001415F0"/>
    <w:rsid w:val="00153B42"/>
    <w:rsid w:val="00154BDE"/>
    <w:rsid w:val="0015761F"/>
    <w:rsid w:val="001716BC"/>
    <w:rsid w:val="00174A4D"/>
    <w:rsid w:val="001823FC"/>
    <w:rsid w:val="00184451"/>
    <w:rsid w:val="0019028F"/>
    <w:rsid w:val="00194BE1"/>
    <w:rsid w:val="001956DF"/>
    <w:rsid w:val="001A0EC1"/>
    <w:rsid w:val="001B2491"/>
    <w:rsid w:val="001B71B8"/>
    <w:rsid w:val="001E44B4"/>
    <w:rsid w:val="002020CA"/>
    <w:rsid w:val="00203FC7"/>
    <w:rsid w:val="00204CB8"/>
    <w:rsid w:val="00215489"/>
    <w:rsid w:val="0021597D"/>
    <w:rsid w:val="00225483"/>
    <w:rsid w:val="002351A4"/>
    <w:rsid w:val="00242E82"/>
    <w:rsid w:val="00252912"/>
    <w:rsid w:val="00261B40"/>
    <w:rsid w:val="00262858"/>
    <w:rsid w:val="00263A2A"/>
    <w:rsid w:val="00274F5C"/>
    <w:rsid w:val="00276FD9"/>
    <w:rsid w:val="00281B5B"/>
    <w:rsid w:val="0028323A"/>
    <w:rsid w:val="002C5570"/>
    <w:rsid w:val="002D3BF0"/>
    <w:rsid w:val="002E3310"/>
    <w:rsid w:val="002E3FB8"/>
    <w:rsid w:val="002F6F89"/>
    <w:rsid w:val="00310D99"/>
    <w:rsid w:val="0031110A"/>
    <w:rsid w:val="0031267E"/>
    <w:rsid w:val="00321E41"/>
    <w:rsid w:val="00340578"/>
    <w:rsid w:val="00345499"/>
    <w:rsid w:val="003630AE"/>
    <w:rsid w:val="0037324B"/>
    <w:rsid w:val="00384A11"/>
    <w:rsid w:val="00385A17"/>
    <w:rsid w:val="00387DB7"/>
    <w:rsid w:val="00392E06"/>
    <w:rsid w:val="003B4E33"/>
    <w:rsid w:val="003B6715"/>
    <w:rsid w:val="003B6E02"/>
    <w:rsid w:val="003B7965"/>
    <w:rsid w:val="003C3592"/>
    <w:rsid w:val="003C688A"/>
    <w:rsid w:val="003D1D6D"/>
    <w:rsid w:val="003E13EA"/>
    <w:rsid w:val="003E6558"/>
    <w:rsid w:val="003F77EB"/>
    <w:rsid w:val="003F7BD0"/>
    <w:rsid w:val="004028BA"/>
    <w:rsid w:val="00411827"/>
    <w:rsid w:val="00412FEB"/>
    <w:rsid w:val="00413A76"/>
    <w:rsid w:val="00416A62"/>
    <w:rsid w:val="0043342D"/>
    <w:rsid w:val="00435BE6"/>
    <w:rsid w:val="00444E6A"/>
    <w:rsid w:val="004506DE"/>
    <w:rsid w:val="00450FA5"/>
    <w:rsid w:val="00462932"/>
    <w:rsid w:val="00463765"/>
    <w:rsid w:val="00465B29"/>
    <w:rsid w:val="00466C83"/>
    <w:rsid w:val="004726DC"/>
    <w:rsid w:val="00474B9B"/>
    <w:rsid w:val="00475BC7"/>
    <w:rsid w:val="00476BAE"/>
    <w:rsid w:val="004828E1"/>
    <w:rsid w:val="00486901"/>
    <w:rsid w:val="00487B3C"/>
    <w:rsid w:val="00491B2E"/>
    <w:rsid w:val="00493CDA"/>
    <w:rsid w:val="00494AEA"/>
    <w:rsid w:val="004A7915"/>
    <w:rsid w:val="004B0E68"/>
    <w:rsid w:val="004B3F4E"/>
    <w:rsid w:val="004C0635"/>
    <w:rsid w:val="004C1151"/>
    <w:rsid w:val="004E6312"/>
    <w:rsid w:val="004F00F3"/>
    <w:rsid w:val="004F1F1E"/>
    <w:rsid w:val="00515A98"/>
    <w:rsid w:val="00524871"/>
    <w:rsid w:val="00526076"/>
    <w:rsid w:val="00533F1A"/>
    <w:rsid w:val="00534C48"/>
    <w:rsid w:val="005368E0"/>
    <w:rsid w:val="00536BB2"/>
    <w:rsid w:val="00554099"/>
    <w:rsid w:val="0055510B"/>
    <w:rsid w:val="00557FC1"/>
    <w:rsid w:val="00560BC0"/>
    <w:rsid w:val="00560D3F"/>
    <w:rsid w:val="00571677"/>
    <w:rsid w:val="00574D24"/>
    <w:rsid w:val="00574E5D"/>
    <w:rsid w:val="00576330"/>
    <w:rsid w:val="005851D3"/>
    <w:rsid w:val="00591CDF"/>
    <w:rsid w:val="00596D89"/>
    <w:rsid w:val="005A2C52"/>
    <w:rsid w:val="005A766E"/>
    <w:rsid w:val="005B56B1"/>
    <w:rsid w:val="005D677C"/>
    <w:rsid w:val="005E2D4F"/>
    <w:rsid w:val="005E6169"/>
    <w:rsid w:val="005F3D3A"/>
    <w:rsid w:val="005F4888"/>
    <w:rsid w:val="005F4C7D"/>
    <w:rsid w:val="005F4D26"/>
    <w:rsid w:val="005F4FC7"/>
    <w:rsid w:val="006004A1"/>
    <w:rsid w:val="00600C1A"/>
    <w:rsid w:val="006028A0"/>
    <w:rsid w:val="00602AC1"/>
    <w:rsid w:val="00605559"/>
    <w:rsid w:val="006076F6"/>
    <w:rsid w:val="006130D9"/>
    <w:rsid w:val="00613D72"/>
    <w:rsid w:val="006243A3"/>
    <w:rsid w:val="00625BF9"/>
    <w:rsid w:val="00632B54"/>
    <w:rsid w:val="0063568C"/>
    <w:rsid w:val="006429C5"/>
    <w:rsid w:val="0065577C"/>
    <w:rsid w:val="006607E9"/>
    <w:rsid w:val="0066258A"/>
    <w:rsid w:val="00670402"/>
    <w:rsid w:val="00672EE3"/>
    <w:rsid w:val="006770EB"/>
    <w:rsid w:val="00685AC5"/>
    <w:rsid w:val="006868B4"/>
    <w:rsid w:val="00696EBF"/>
    <w:rsid w:val="00697484"/>
    <w:rsid w:val="006977A8"/>
    <w:rsid w:val="006A52DA"/>
    <w:rsid w:val="006B02C7"/>
    <w:rsid w:val="006B2B80"/>
    <w:rsid w:val="006C3026"/>
    <w:rsid w:val="006D4B06"/>
    <w:rsid w:val="006D4CD7"/>
    <w:rsid w:val="007044B4"/>
    <w:rsid w:val="007052EC"/>
    <w:rsid w:val="00716C48"/>
    <w:rsid w:val="00720652"/>
    <w:rsid w:val="007254A2"/>
    <w:rsid w:val="0072663A"/>
    <w:rsid w:val="007300A0"/>
    <w:rsid w:val="00737B46"/>
    <w:rsid w:val="00737EF3"/>
    <w:rsid w:val="00746322"/>
    <w:rsid w:val="007516B2"/>
    <w:rsid w:val="00751A20"/>
    <w:rsid w:val="00753E08"/>
    <w:rsid w:val="007547F7"/>
    <w:rsid w:val="007632D8"/>
    <w:rsid w:val="00767955"/>
    <w:rsid w:val="00771CAE"/>
    <w:rsid w:val="00773611"/>
    <w:rsid w:val="007767A4"/>
    <w:rsid w:val="0078485A"/>
    <w:rsid w:val="007873FF"/>
    <w:rsid w:val="007A1E9D"/>
    <w:rsid w:val="007A430C"/>
    <w:rsid w:val="007A4918"/>
    <w:rsid w:val="007A4AC9"/>
    <w:rsid w:val="007A6A74"/>
    <w:rsid w:val="007A7D08"/>
    <w:rsid w:val="007B2798"/>
    <w:rsid w:val="007D0B50"/>
    <w:rsid w:val="007D0E93"/>
    <w:rsid w:val="007D2128"/>
    <w:rsid w:val="007D7E9E"/>
    <w:rsid w:val="007F144F"/>
    <w:rsid w:val="00804700"/>
    <w:rsid w:val="00805607"/>
    <w:rsid w:val="008058E9"/>
    <w:rsid w:val="008076BA"/>
    <w:rsid w:val="008117C2"/>
    <w:rsid w:val="00812651"/>
    <w:rsid w:val="00851B62"/>
    <w:rsid w:val="00853969"/>
    <w:rsid w:val="00855148"/>
    <w:rsid w:val="0086271C"/>
    <w:rsid w:val="00865BC6"/>
    <w:rsid w:val="00866014"/>
    <w:rsid w:val="00867D1F"/>
    <w:rsid w:val="00874C09"/>
    <w:rsid w:val="00882C77"/>
    <w:rsid w:val="0088563B"/>
    <w:rsid w:val="00892903"/>
    <w:rsid w:val="008932AE"/>
    <w:rsid w:val="00895960"/>
    <w:rsid w:val="00897B94"/>
    <w:rsid w:val="008A0AD7"/>
    <w:rsid w:val="008A6047"/>
    <w:rsid w:val="008C0CCE"/>
    <w:rsid w:val="008C36B8"/>
    <w:rsid w:val="008F31A0"/>
    <w:rsid w:val="00907858"/>
    <w:rsid w:val="0092707D"/>
    <w:rsid w:val="009333A5"/>
    <w:rsid w:val="00943B0C"/>
    <w:rsid w:val="009557C6"/>
    <w:rsid w:val="00956610"/>
    <w:rsid w:val="00970A81"/>
    <w:rsid w:val="00970B16"/>
    <w:rsid w:val="009721A1"/>
    <w:rsid w:val="009740CE"/>
    <w:rsid w:val="00977200"/>
    <w:rsid w:val="00983F72"/>
    <w:rsid w:val="00984309"/>
    <w:rsid w:val="00985D79"/>
    <w:rsid w:val="00996686"/>
    <w:rsid w:val="009A15A4"/>
    <w:rsid w:val="009B4C26"/>
    <w:rsid w:val="009D30CF"/>
    <w:rsid w:val="009D3258"/>
    <w:rsid w:val="009D48D1"/>
    <w:rsid w:val="009F3364"/>
    <w:rsid w:val="009F6ED1"/>
    <w:rsid w:val="00A01B26"/>
    <w:rsid w:val="00A0753E"/>
    <w:rsid w:val="00A14C36"/>
    <w:rsid w:val="00A31D90"/>
    <w:rsid w:val="00A32E7A"/>
    <w:rsid w:val="00A33F99"/>
    <w:rsid w:val="00A42957"/>
    <w:rsid w:val="00A5189E"/>
    <w:rsid w:val="00A5463A"/>
    <w:rsid w:val="00A607F9"/>
    <w:rsid w:val="00A6712C"/>
    <w:rsid w:val="00A6748D"/>
    <w:rsid w:val="00A83518"/>
    <w:rsid w:val="00A8467A"/>
    <w:rsid w:val="00A86E59"/>
    <w:rsid w:val="00A86EA8"/>
    <w:rsid w:val="00A96758"/>
    <w:rsid w:val="00AA245A"/>
    <w:rsid w:val="00AA6895"/>
    <w:rsid w:val="00AA6F50"/>
    <w:rsid w:val="00AA7EFA"/>
    <w:rsid w:val="00AC04C0"/>
    <w:rsid w:val="00AC5F3E"/>
    <w:rsid w:val="00AC6FEE"/>
    <w:rsid w:val="00AC74E1"/>
    <w:rsid w:val="00AD3510"/>
    <w:rsid w:val="00AD54D4"/>
    <w:rsid w:val="00AE5715"/>
    <w:rsid w:val="00AE7B5D"/>
    <w:rsid w:val="00AF6416"/>
    <w:rsid w:val="00B04597"/>
    <w:rsid w:val="00B25852"/>
    <w:rsid w:val="00B343A7"/>
    <w:rsid w:val="00B35FE8"/>
    <w:rsid w:val="00B376A5"/>
    <w:rsid w:val="00B44AFA"/>
    <w:rsid w:val="00B44B87"/>
    <w:rsid w:val="00B47C48"/>
    <w:rsid w:val="00B56443"/>
    <w:rsid w:val="00B57C4B"/>
    <w:rsid w:val="00B650CF"/>
    <w:rsid w:val="00B75408"/>
    <w:rsid w:val="00B764EC"/>
    <w:rsid w:val="00B7755A"/>
    <w:rsid w:val="00B81252"/>
    <w:rsid w:val="00B84991"/>
    <w:rsid w:val="00B851A2"/>
    <w:rsid w:val="00B922AD"/>
    <w:rsid w:val="00BA0A49"/>
    <w:rsid w:val="00BA0A7E"/>
    <w:rsid w:val="00BB0A69"/>
    <w:rsid w:val="00BB3ECC"/>
    <w:rsid w:val="00BC2457"/>
    <w:rsid w:val="00BC53CD"/>
    <w:rsid w:val="00BD52AE"/>
    <w:rsid w:val="00BD7D34"/>
    <w:rsid w:val="00BE1365"/>
    <w:rsid w:val="00BE2748"/>
    <w:rsid w:val="00BE4788"/>
    <w:rsid w:val="00BF28DC"/>
    <w:rsid w:val="00C02ECF"/>
    <w:rsid w:val="00C03BCE"/>
    <w:rsid w:val="00C068EA"/>
    <w:rsid w:val="00C068F1"/>
    <w:rsid w:val="00C14FC2"/>
    <w:rsid w:val="00C16F97"/>
    <w:rsid w:val="00C20426"/>
    <w:rsid w:val="00C2253D"/>
    <w:rsid w:val="00C23B15"/>
    <w:rsid w:val="00C27FF4"/>
    <w:rsid w:val="00C359FF"/>
    <w:rsid w:val="00C36870"/>
    <w:rsid w:val="00C376CB"/>
    <w:rsid w:val="00C37776"/>
    <w:rsid w:val="00C50C31"/>
    <w:rsid w:val="00C51DEA"/>
    <w:rsid w:val="00C60B6D"/>
    <w:rsid w:val="00C6299A"/>
    <w:rsid w:val="00C7154A"/>
    <w:rsid w:val="00C93137"/>
    <w:rsid w:val="00CA0B7F"/>
    <w:rsid w:val="00CA401E"/>
    <w:rsid w:val="00CB066C"/>
    <w:rsid w:val="00CB3B7C"/>
    <w:rsid w:val="00CC214C"/>
    <w:rsid w:val="00CC2A82"/>
    <w:rsid w:val="00CC49A0"/>
    <w:rsid w:val="00CD0BF5"/>
    <w:rsid w:val="00CD1178"/>
    <w:rsid w:val="00CE3E9B"/>
    <w:rsid w:val="00CF3C5D"/>
    <w:rsid w:val="00CF6181"/>
    <w:rsid w:val="00CF7265"/>
    <w:rsid w:val="00D03B22"/>
    <w:rsid w:val="00D0416B"/>
    <w:rsid w:val="00D22ECA"/>
    <w:rsid w:val="00D26608"/>
    <w:rsid w:val="00D6172E"/>
    <w:rsid w:val="00D652F9"/>
    <w:rsid w:val="00D66B4F"/>
    <w:rsid w:val="00D76774"/>
    <w:rsid w:val="00D80FE0"/>
    <w:rsid w:val="00D8214E"/>
    <w:rsid w:val="00D8299A"/>
    <w:rsid w:val="00D8335B"/>
    <w:rsid w:val="00DA06DC"/>
    <w:rsid w:val="00DA30BB"/>
    <w:rsid w:val="00DB2175"/>
    <w:rsid w:val="00DB471C"/>
    <w:rsid w:val="00DB620E"/>
    <w:rsid w:val="00DC2290"/>
    <w:rsid w:val="00DD3773"/>
    <w:rsid w:val="00DE2A0C"/>
    <w:rsid w:val="00DE48B0"/>
    <w:rsid w:val="00DF1ABC"/>
    <w:rsid w:val="00DF1E04"/>
    <w:rsid w:val="00DF7933"/>
    <w:rsid w:val="00E009CE"/>
    <w:rsid w:val="00E026FD"/>
    <w:rsid w:val="00E0381D"/>
    <w:rsid w:val="00E06F42"/>
    <w:rsid w:val="00E14C7F"/>
    <w:rsid w:val="00E40A5A"/>
    <w:rsid w:val="00E4579B"/>
    <w:rsid w:val="00E53DEF"/>
    <w:rsid w:val="00E863E0"/>
    <w:rsid w:val="00E933DA"/>
    <w:rsid w:val="00E94135"/>
    <w:rsid w:val="00E943E6"/>
    <w:rsid w:val="00E97055"/>
    <w:rsid w:val="00E97891"/>
    <w:rsid w:val="00EA0843"/>
    <w:rsid w:val="00EA3FC0"/>
    <w:rsid w:val="00EB66F7"/>
    <w:rsid w:val="00EC5AD8"/>
    <w:rsid w:val="00EC6591"/>
    <w:rsid w:val="00ED3D5A"/>
    <w:rsid w:val="00ED463D"/>
    <w:rsid w:val="00EF15ED"/>
    <w:rsid w:val="00EF2548"/>
    <w:rsid w:val="00EF5935"/>
    <w:rsid w:val="00EF706B"/>
    <w:rsid w:val="00F07A93"/>
    <w:rsid w:val="00F07D6B"/>
    <w:rsid w:val="00F1502A"/>
    <w:rsid w:val="00F169E0"/>
    <w:rsid w:val="00F20BE1"/>
    <w:rsid w:val="00F2251E"/>
    <w:rsid w:val="00F237A8"/>
    <w:rsid w:val="00F239C9"/>
    <w:rsid w:val="00F25FBA"/>
    <w:rsid w:val="00F30F6B"/>
    <w:rsid w:val="00F332A5"/>
    <w:rsid w:val="00F33ACD"/>
    <w:rsid w:val="00F472DA"/>
    <w:rsid w:val="00F51F48"/>
    <w:rsid w:val="00F56D63"/>
    <w:rsid w:val="00F60031"/>
    <w:rsid w:val="00F60B88"/>
    <w:rsid w:val="00F65CC2"/>
    <w:rsid w:val="00F671FD"/>
    <w:rsid w:val="00F677D2"/>
    <w:rsid w:val="00F67B09"/>
    <w:rsid w:val="00F70385"/>
    <w:rsid w:val="00F70840"/>
    <w:rsid w:val="00F728EE"/>
    <w:rsid w:val="00F74630"/>
    <w:rsid w:val="00F84335"/>
    <w:rsid w:val="00F91462"/>
    <w:rsid w:val="00FB08B5"/>
    <w:rsid w:val="00FB4F5A"/>
    <w:rsid w:val="00FB5579"/>
    <w:rsid w:val="00FD26BF"/>
    <w:rsid w:val="00FE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5A"/>
    <w:pPr>
      <w:spacing w:after="200" w:line="276" w:lineRule="auto"/>
    </w:pPr>
    <w:rPr>
      <w:lang w:eastAsia="en-US"/>
    </w:rPr>
  </w:style>
  <w:style w:type="paragraph" w:styleId="Heading1">
    <w:name w:val="heading 1"/>
    <w:basedOn w:val="Normal"/>
    <w:next w:val="Normal"/>
    <w:link w:val="Heading1Char"/>
    <w:uiPriority w:val="99"/>
    <w:qFormat/>
    <w:locked/>
    <w:rsid w:val="00EB66F7"/>
    <w:pPr>
      <w:keepNext/>
      <w:widowControl w:val="0"/>
      <w:spacing w:after="0" w:line="240" w:lineRule="auto"/>
      <w:jc w:val="both"/>
      <w:outlineLvl w:val="0"/>
    </w:pPr>
    <w:rPr>
      <w:rFonts w:ascii="Arial" w:hAnsi="Arial"/>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66F7"/>
    <w:rPr>
      <w:rFonts w:ascii="Arial" w:hAnsi="Arial"/>
      <w:b/>
      <w:sz w:val="20"/>
      <w:u w:val="single"/>
      <w:lang w:eastAsia="en-US"/>
    </w:rPr>
  </w:style>
  <w:style w:type="paragraph" w:styleId="ListParagraph">
    <w:name w:val="List Paragraph"/>
    <w:basedOn w:val="Normal"/>
    <w:uiPriority w:val="99"/>
    <w:qFormat/>
    <w:rsid w:val="00515A98"/>
    <w:pPr>
      <w:ind w:left="720"/>
      <w:contextualSpacing/>
    </w:pPr>
  </w:style>
  <w:style w:type="paragraph" w:styleId="BodyText2">
    <w:name w:val="Body Text 2"/>
    <w:basedOn w:val="Normal"/>
    <w:link w:val="BodyText2Char"/>
    <w:uiPriority w:val="99"/>
    <w:rsid w:val="00EB66F7"/>
    <w:pPr>
      <w:spacing w:after="0" w:line="240" w:lineRule="auto"/>
      <w:jc w:val="both"/>
    </w:pPr>
    <w:rPr>
      <w:rFonts w:ascii="Times New Roman" w:hAnsi="Times New Roman"/>
      <w:sz w:val="20"/>
      <w:szCs w:val="20"/>
    </w:rPr>
  </w:style>
  <w:style w:type="character" w:customStyle="1" w:styleId="BodyText2Char">
    <w:name w:val="Body Text 2 Char"/>
    <w:basedOn w:val="DefaultParagraphFont"/>
    <w:link w:val="BodyText2"/>
    <w:uiPriority w:val="99"/>
    <w:locked/>
    <w:rsid w:val="00EB66F7"/>
    <w:rPr>
      <w:rFonts w:ascii="Times New Roman" w:hAnsi="Times New Roman"/>
      <w:sz w:val="20"/>
      <w:lang w:eastAsia="en-US"/>
    </w:rPr>
  </w:style>
  <w:style w:type="paragraph" w:customStyle="1" w:styleId="Apostolos">
    <w:name w:val="Apostolos"/>
    <w:basedOn w:val="Normal"/>
    <w:uiPriority w:val="99"/>
    <w:rsid w:val="00EB66F7"/>
    <w:pPr>
      <w:spacing w:after="0" w:line="240" w:lineRule="auto"/>
      <w:ind w:firstLine="284"/>
      <w:jc w:val="both"/>
    </w:pPr>
    <w:rPr>
      <w:rFonts w:ascii="Times New Roman" w:eastAsia="Times New Roman" w:hAnsi="Times New Roman"/>
      <w:sz w:val="24"/>
      <w:szCs w:val="20"/>
    </w:rPr>
  </w:style>
  <w:style w:type="paragraph" w:customStyle="1" w:styleId="References">
    <w:name w:val="References"/>
    <w:basedOn w:val="Normal"/>
    <w:uiPriority w:val="99"/>
    <w:rsid w:val="00EB66F7"/>
    <w:pPr>
      <w:overflowPunct w:val="0"/>
      <w:autoSpaceDE w:val="0"/>
      <w:autoSpaceDN w:val="0"/>
      <w:adjustRightInd w:val="0"/>
      <w:spacing w:after="120" w:line="240" w:lineRule="auto"/>
      <w:ind w:left="737" w:hanging="737"/>
      <w:jc w:val="both"/>
      <w:textAlignment w:val="baseline"/>
    </w:pPr>
    <w:rPr>
      <w:rFonts w:ascii="Times New Roman" w:eastAsia="Times New Roman" w:hAnsi="Times New Roman"/>
      <w:sz w:val="20"/>
      <w:szCs w:val="20"/>
    </w:rPr>
  </w:style>
  <w:style w:type="table" w:styleId="TableClassic1">
    <w:name w:val="Table Classic 1"/>
    <w:basedOn w:val="TableNormal"/>
    <w:uiPriority w:val="99"/>
    <w:rsid w:val="00392E06"/>
    <w:pPr>
      <w:spacing w:after="200" w:line="276" w:lineRule="auto"/>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Footer">
    <w:name w:val="footer"/>
    <w:basedOn w:val="Normal"/>
    <w:link w:val="FooterChar"/>
    <w:uiPriority w:val="99"/>
    <w:rsid w:val="0031110A"/>
    <w:pPr>
      <w:tabs>
        <w:tab w:val="center" w:pos="4153"/>
        <w:tab w:val="right" w:pos="8306"/>
      </w:tabs>
    </w:pPr>
    <w:rPr>
      <w:sz w:val="20"/>
      <w:szCs w:val="20"/>
    </w:rPr>
  </w:style>
  <w:style w:type="character" w:customStyle="1" w:styleId="FooterChar">
    <w:name w:val="Footer Char"/>
    <w:basedOn w:val="DefaultParagraphFont"/>
    <w:link w:val="Footer"/>
    <w:uiPriority w:val="99"/>
    <w:semiHidden/>
    <w:locked/>
    <w:rsid w:val="000E2857"/>
    <w:rPr>
      <w:lang w:eastAsia="en-US"/>
    </w:rPr>
  </w:style>
  <w:style w:type="character" w:styleId="PageNumber">
    <w:name w:val="page number"/>
    <w:basedOn w:val="DefaultParagraphFont"/>
    <w:uiPriority w:val="99"/>
    <w:rsid w:val="0031110A"/>
    <w:rPr>
      <w:rFonts w:cs="Times New Roman"/>
    </w:rPr>
  </w:style>
  <w:style w:type="paragraph" w:styleId="BodyText">
    <w:name w:val="Body Text"/>
    <w:basedOn w:val="Normal"/>
    <w:link w:val="BodyTextChar"/>
    <w:uiPriority w:val="99"/>
    <w:rsid w:val="00476BAE"/>
    <w:pPr>
      <w:spacing w:after="120"/>
    </w:pPr>
    <w:rPr>
      <w:sz w:val="20"/>
      <w:szCs w:val="20"/>
    </w:rPr>
  </w:style>
  <w:style w:type="character" w:customStyle="1" w:styleId="BodyTextChar">
    <w:name w:val="Body Text Char"/>
    <w:basedOn w:val="DefaultParagraphFont"/>
    <w:link w:val="BodyText"/>
    <w:uiPriority w:val="99"/>
    <w:semiHidden/>
    <w:locked/>
    <w:rsid w:val="000E2857"/>
    <w:rPr>
      <w:lang w:eastAsia="en-US"/>
    </w:rPr>
  </w:style>
  <w:style w:type="paragraph" w:styleId="FootnoteText">
    <w:name w:val="footnote text"/>
    <w:aliases w:val="Footnote Text Char Char Char"/>
    <w:basedOn w:val="Normal"/>
    <w:link w:val="FootnoteTextChar"/>
    <w:uiPriority w:val="99"/>
    <w:semiHidden/>
    <w:rsid w:val="00476BAE"/>
    <w:pPr>
      <w:overflowPunct w:val="0"/>
      <w:autoSpaceDE w:val="0"/>
      <w:autoSpaceDN w:val="0"/>
      <w:adjustRightInd w:val="0"/>
      <w:spacing w:after="0" w:line="240" w:lineRule="auto"/>
      <w:ind w:firstLine="113"/>
      <w:jc w:val="both"/>
      <w:textAlignment w:val="baseline"/>
    </w:pPr>
    <w:rPr>
      <w:sz w:val="20"/>
      <w:szCs w:val="20"/>
    </w:rPr>
  </w:style>
  <w:style w:type="character" w:customStyle="1" w:styleId="FootnoteTextChar">
    <w:name w:val="Footnote Text Char"/>
    <w:aliases w:val="Footnote Text Char Char Char Char"/>
    <w:basedOn w:val="DefaultParagraphFont"/>
    <w:link w:val="FootnoteText"/>
    <w:uiPriority w:val="99"/>
    <w:semiHidden/>
    <w:locked/>
    <w:rsid w:val="000E2857"/>
    <w:rPr>
      <w:sz w:val="20"/>
      <w:lang w:eastAsia="en-US"/>
    </w:rPr>
  </w:style>
  <w:style w:type="character" w:styleId="FootnoteReference">
    <w:name w:val="footnote reference"/>
    <w:basedOn w:val="DefaultParagraphFont"/>
    <w:uiPriority w:val="99"/>
    <w:semiHidden/>
    <w:rsid w:val="00476BAE"/>
    <w:rPr>
      <w:rFonts w:cs="Times New Roman"/>
      <w:vertAlign w:val="superscript"/>
    </w:rPr>
  </w:style>
  <w:style w:type="character" w:styleId="Hyperlink">
    <w:name w:val="Hyperlink"/>
    <w:basedOn w:val="DefaultParagraphFont"/>
    <w:uiPriority w:val="99"/>
    <w:rsid w:val="00476BAE"/>
    <w:rPr>
      <w:rFonts w:cs="Times New Roman"/>
      <w:color w:val="0000FF"/>
      <w:u w:val="single"/>
    </w:rPr>
  </w:style>
  <w:style w:type="paragraph" w:styleId="BodyText3">
    <w:name w:val="Body Text 3"/>
    <w:basedOn w:val="Normal"/>
    <w:link w:val="BodyText3Char"/>
    <w:uiPriority w:val="99"/>
    <w:rsid w:val="00970A81"/>
    <w:pPr>
      <w:spacing w:after="120"/>
    </w:pPr>
    <w:rPr>
      <w:sz w:val="16"/>
      <w:szCs w:val="16"/>
    </w:rPr>
  </w:style>
  <w:style w:type="character" w:customStyle="1" w:styleId="BodyText3Char">
    <w:name w:val="Body Text 3 Char"/>
    <w:basedOn w:val="DefaultParagraphFont"/>
    <w:link w:val="BodyText3"/>
    <w:uiPriority w:val="99"/>
    <w:semiHidden/>
    <w:locked/>
    <w:rsid w:val="000E2857"/>
    <w:rPr>
      <w:sz w:val="16"/>
      <w:lang w:eastAsia="en-US"/>
    </w:rPr>
  </w:style>
  <w:style w:type="paragraph" w:customStyle="1" w:styleId="Equations">
    <w:name w:val="Equations"/>
    <w:basedOn w:val="Normal"/>
    <w:uiPriority w:val="99"/>
    <w:rsid w:val="00970A81"/>
    <w:pPr>
      <w:overflowPunct w:val="0"/>
      <w:autoSpaceDE w:val="0"/>
      <w:autoSpaceDN w:val="0"/>
      <w:adjustRightInd w:val="0"/>
      <w:spacing w:after="120" w:line="240" w:lineRule="auto"/>
      <w:jc w:val="both"/>
      <w:textAlignment w:val="baseline"/>
    </w:pPr>
    <w:rPr>
      <w:rFonts w:ascii="Times New Roman" w:eastAsia="Times New Roman" w:hAnsi="Times New Roman"/>
      <w:szCs w:val="24"/>
    </w:rPr>
  </w:style>
  <w:style w:type="table" w:styleId="TableGrid">
    <w:name w:val="Table Grid"/>
    <w:basedOn w:val="TableNormal"/>
    <w:uiPriority w:val="99"/>
    <w:locked/>
    <w:rsid w:val="00BE478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E616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E6169"/>
    <w:rPr>
      <w:rFonts w:ascii="Tahoma" w:hAnsi="Tahoma"/>
      <w:sz w:val="16"/>
      <w:lang w:eastAsia="en-US"/>
    </w:rPr>
  </w:style>
  <w:style w:type="paragraph" w:styleId="Caption">
    <w:name w:val="caption"/>
    <w:basedOn w:val="Normal"/>
    <w:next w:val="Normal"/>
    <w:unhideWhenUsed/>
    <w:qFormat/>
    <w:locked/>
    <w:rsid w:val="00DB620E"/>
    <w:pPr>
      <w:spacing w:line="240" w:lineRule="auto"/>
    </w:pPr>
    <w:rPr>
      <w:b/>
      <w:bCs/>
      <w:color w:val="4F81BD" w:themeColor="accent1"/>
      <w:sz w:val="18"/>
      <w:szCs w:val="18"/>
    </w:rPr>
  </w:style>
  <w:style w:type="character" w:customStyle="1" w:styleId="Bold">
    <w:name w:val="Bold"/>
    <w:uiPriority w:val="99"/>
    <w:rsid w:val="005716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5A"/>
    <w:pPr>
      <w:spacing w:after="200" w:line="276" w:lineRule="auto"/>
    </w:pPr>
    <w:rPr>
      <w:lang w:eastAsia="en-US"/>
    </w:rPr>
  </w:style>
  <w:style w:type="paragraph" w:styleId="Heading1">
    <w:name w:val="heading 1"/>
    <w:basedOn w:val="Normal"/>
    <w:next w:val="Normal"/>
    <w:link w:val="Heading1Char"/>
    <w:uiPriority w:val="99"/>
    <w:qFormat/>
    <w:locked/>
    <w:rsid w:val="00EB66F7"/>
    <w:pPr>
      <w:keepNext/>
      <w:widowControl w:val="0"/>
      <w:spacing w:after="0" w:line="240" w:lineRule="auto"/>
      <w:jc w:val="both"/>
      <w:outlineLvl w:val="0"/>
    </w:pPr>
    <w:rPr>
      <w:rFonts w:ascii="Arial" w:hAnsi="Arial"/>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66F7"/>
    <w:rPr>
      <w:rFonts w:ascii="Arial" w:hAnsi="Arial"/>
      <w:b/>
      <w:sz w:val="20"/>
      <w:u w:val="single"/>
      <w:lang w:eastAsia="en-US"/>
    </w:rPr>
  </w:style>
  <w:style w:type="paragraph" w:styleId="ListParagraph">
    <w:name w:val="List Paragraph"/>
    <w:basedOn w:val="Normal"/>
    <w:uiPriority w:val="99"/>
    <w:qFormat/>
    <w:rsid w:val="00515A98"/>
    <w:pPr>
      <w:ind w:left="720"/>
      <w:contextualSpacing/>
    </w:pPr>
  </w:style>
  <w:style w:type="paragraph" w:styleId="BodyText2">
    <w:name w:val="Body Text 2"/>
    <w:basedOn w:val="Normal"/>
    <w:link w:val="BodyText2Char"/>
    <w:uiPriority w:val="99"/>
    <w:rsid w:val="00EB66F7"/>
    <w:pPr>
      <w:spacing w:after="0" w:line="240" w:lineRule="auto"/>
      <w:jc w:val="both"/>
    </w:pPr>
    <w:rPr>
      <w:rFonts w:ascii="Times New Roman" w:hAnsi="Times New Roman"/>
      <w:sz w:val="20"/>
      <w:szCs w:val="20"/>
    </w:rPr>
  </w:style>
  <w:style w:type="character" w:customStyle="1" w:styleId="BodyText2Char">
    <w:name w:val="Body Text 2 Char"/>
    <w:basedOn w:val="DefaultParagraphFont"/>
    <w:link w:val="BodyText2"/>
    <w:uiPriority w:val="99"/>
    <w:locked/>
    <w:rsid w:val="00EB66F7"/>
    <w:rPr>
      <w:rFonts w:ascii="Times New Roman" w:hAnsi="Times New Roman"/>
      <w:sz w:val="20"/>
      <w:lang w:eastAsia="en-US"/>
    </w:rPr>
  </w:style>
  <w:style w:type="paragraph" w:customStyle="1" w:styleId="Apostolos">
    <w:name w:val="Apostolos"/>
    <w:basedOn w:val="Normal"/>
    <w:uiPriority w:val="99"/>
    <w:rsid w:val="00EB66F7"/>
    <w:pPr>
      <w:spacing w:after="0" w:line="240" w:lineRule="auto"/>
      <w:ind w:firstLine="284"/>
      <w:jc w:val="both"/>
    </w:pPr>
    <w:rPr>
      <w:rFonts w:ascii="Times New Roman" w:eastAsia="Times New Roman" w:hAnsi="Times New Roman"/>
      <w:sz w:val="24"/>
      <w:szCs w:val="20"/>
    </w:rPr>
  </w:style>
  <w:style w:type="paragraph" w:customStyle="1" w:styleId="References">
    <w:name w:val="References"/>
    <w:basedOn w:val="Normal"/>
    <w:uiPriority w:val="99"/>
    <w:rsid w:val="00EB66F7"/>
    <w:pPr>
      <w:overflowPunct w:val="0"/>
      <w:autoSpaceDE w:val="0"/>
      <w:autoSpaceDN w:val="0"/>
      <w:adjustRightInd w:val="0"/>
      <w:spacing w:after="120" w:line="240" w:lineRule="auto"/>
      <w:ind w:left="737" w:hanging="737"/>
      <w:jc w:val="both"/>
      <w:textAlignment w:val="baseline"/>
    </w:pPr>
    <w:rPr>
      <w:rFonts w:ascii="Times New Roman" w:eastAsia="Times New Roman" w:hAnsi="Times New Roman"/>
      <w:sz w:val="20"/>
      <w:szCs w:val="20"/>
    </w:rPr>
  </w:style>
  <w:style w:type="table" w:styleId="TableClassic1">
    <w:name w:val="Table Classic 1"/>
    <w:basedOn w:val="TableNormal"/>
    <w:uiPriority w:val="99"/>
    <w:rsid w:val="00392E06"/>
    <w:pPr>
      <w:spacing w:after="200" w:line="276" w:lineRule="auto"/>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Footer">
    <w:name w:val="footer"/>
    <w:basedOn w:val="Normal"/>
    <w:link w:val="FooterChar"/>
    <w:uiPriority w:val="99"/>
    <w:rsid w:val="0031110A"/>
    <w:pPr>
      <w:tabs>
        <w:tab w:val="center" w:pos="4153"/>
        <w:tab w:val="right" w:pos="8306"/>
      </w:tabs>
    </w:pPr>
    <w:rPr>
      <w:sz w:val="20"/>
      <w:szCs w:val="20"/>
    </w:rPr>
  </w:style>
  <w:style w:type="character" w:customStyle="1" w:styleId="FooterChar">
    <w:name w:val="Footer Char"/>
    <w:basedOn w:val="DefaultParagraphFont"/>
    <w:link w:val="Footer"/>
    <w:uiPriority w:val="99"/>
    <w:semiHidden/>
    <w:locked/>
    <w:rsid w:val="000E2857"/>
    <w:rPr>
      <w:lang w:eastAsia="en-US"/>
    </w:rPr>
  </w:style>
  <w:style w:type="character" w:styleId="PageNumber">
    <w:name w:val="page number"/>
    <w:basedOn w:val="DefaultParagraphFont"/>
    <w:uiPriority w:val="99"/>
    <w:rsid w:val="0031110A"/>
    <w:rPr>
      <w:rFonts w:cs="Times New Roman"/>
    </w:rPr>
  </w:style>
  <w:style w:type="paragraph" w:styleId="BodyText">
    <w:name w:val="Body Text"/>
    <w:basedOn w:val="Normal"/>
    <w:link w:val="BodyTextChar"/>
    <w:uiPriority w:val="99"/>
    <w:rsid w:val="00476BAE"/>
    <w:pPr>
      <w:spacing w:after="120"/>
    </w:pPr>
    <w:rPr>
      <w:sz w:val="20"/>
      <w:szCs w:val="20"/>
    </w:rPr>
  </w:style>
  <w:style w:type="character" w:customStyle="1" w:styleId="BodyTextChar">
    <w:name w:val="Body Text Char"/>
    <w:basedOn w:val="DefaultParagraphFont"/>
    <w:link w:val="BodyText"/>
    <w:uiPriority w:val="99"/>
    <w:semiHidden/>
    <w:locked/>
    <w:rsid w:val="000E2857"/>
    <w:rPr>
      <w:lang w:eastAsia="en-US"/>
    </w:rPr>
  </w:style>
  <w:style w:type="paragraph" w:styleId="FootnoteText">
    <w:name w:val="footnote text"/>
    <w:aliases w:val="Footnote Text Char Char Char"/>
    <w:basedOn w:val="Normal"/>
    <w:link w:val="FootnoteTextChar"/>
    <w:uiPriority w:val="99"/>
    <w:semiHidden/>
    <w:rsid w:val="00476BAE"/>
    <w:pPr>
      <w:overflowPunct w:val="0"/>
      <w:autoSpaceDE w:val="0"/>
      <w:autoSpaceDN w:val="0"/>
      <w:adjustRightInd w:val="0"/>
      <w:spacing w:after="0" w:line="240" w:lineRule="auto"/>
      <w:ind w:firstLine="113"/>
      <w:jc w:val="both"/>
      <w:textAlignment w:val="baseline"/>
    </w:pPr>
    <w:rPr>
      <w:sz w:val="20"/>
      <w:szCs w:val="20"/>
    </w:rPr>
  </w:style>
  <w:style w:type="character" w:customStyle="1" w:styleId="FootnoteTextChar">
    <w:name w:val="Footnote Text Char"/>
    <w:aliases w:val="Footnote Text Char Char Char Char"/>
    <w:basedOn w:val="DefaultParagraphFont"/>
    <w:link w:val="FootnoteText"/>
    <w:uiPriority w:val="99"/>
    <w:semiHidden/>
    <w:locked/>
    <w:rsid w:val="000E2857"/>
    <w:rPr>
      <w:sz w:val="20"/>
      <w:lang w:eastAsia="en-US"/>
    </w:rPr>
  </w:style>
  <w:style w:type="character" w:styleId="FootnoteReference">
    <w:name w:val="footnote reference"/>
    <w:basedOn w:val="DefaultParagraphFont"/>
    <w:uiPriority w:val="99"/>
    <w:semiHidden/>
    <w:rsid w:val="00476BAE"/>
    <w:rPr>
      <w:rFonts w:cs="Times New Roman"/>
      <w:vertAlign w:val="superscript"/>
    </w:rPr>
  </w:style>
  <w:style w:type="character" w:styleId="Hyperlink">
    <w:name w:val="Hyperlink"/>
    <w:basedOn w:val="DefaultParagraphFont"/>
    <w:uiPriority w:val="99"/>
    <w:rsid w:val="00476BAE"/>
    <w:rPr>
      <w:rFonts w:cs="Times New Roman"/>
      <w:color w:val="0000FF"/>
      <w:u w:val="single"/>
    </w:rPr>
  </w:style>
  <w:style w:type="paragraph" w:styleId="BodyText3">
    <w:name w:val="Body Text 3"/>
    <w:basedOn w:val="Normal"/>
    <w:link w:val="BodyText3Char"/>
    <w:uiPriority w:val="99"/>
    <w:rsid w:val="00970A81"/>
    <w:pPr>
      <w:spacing w:after="120"/>
    </w:pPr>
    <w:rPr>
      <w:sz w:val="16"/>
      <w:szCs w:val="16"/>
    </w:rPr>
  </w:style>
  <w:style w:type="character" w:customStyle="1" w:styleId="BodyText3Char">
    <w:name w:val="Body Text 3 Char"/>
    <w:basedOn w:val="DefaultParagraphFont"/>
    <w:link w:val="BodyText3"/>
    <w:uiPriority w:val="99"/>
    <w:semiHidden/>
    <w:locked/>
    <w:rsid w:val="000E2857"/>
    <w:rPr>
      <w:sz w:val="16"/>
      <w:lang w:eastAsia="en-US"/>
    </w:rPr>
  </w:style>
  <w:style w:type="paragraph" w:customStyle="1" w:styleId="Equations">
    <w:name w:val="Equations"/>
    <w:basedOn w:val="Normal"/>
    <w:uiPriority w:val="99"/>
    <w:rsid w:val="00970A81"/>
    <w:pPr>
      <w:overflowPunct w:val="0"/>
      <w:autoSpaceDE w:val="0"/>
      <w:autoSpaceDN w:val="0"/>
      <w:adjustRightInd w:val="0"/>
      <w:spacing w:after="120" w:line="240" w:lineRule="auto"/>
      <w:jc w:val="both"/>
      <w:textAlignment w:val="baseline"/>
    </w:pPr>
    <w:rPr>
      <w:rFonts w:ascii="Times New Roman" w:eastAsia="Times New Roman" w:hAnsi="Times New Roman"/>
      <w:szCs w:val="24"/>
    </w:rPr>
  </w:style>
  <w:style w:type="table" w:styleId="TableGrid">
    <w:name w:val="Table Grid"/>
    <w:basedOn w:val="TableNormal"/>
    <w:uiPriority w:val="99"/>
    <w:locked/>
    <w:rsid w:val="00BE478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E616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E6169"/>
    <w:rPr>
      <w:rFonts w:ascii="Tahoma" w:hAnsi="Tahoma"/>
      <w:sz w:val="16"/>
      <w:lang w:eastAsia="en-US"/>
    </w:rPr>
  </w:style>
  <w:style w:type="paragraph" w:styleId="Caption">
    <w:name w:val="caption"/>
    <w:basedOn w:val="Normal"/>
    <w:next w:val="Normal"/>
    <w:unhideWhenUsed/>
    <w:qFormat/>
    <w:locked/>
    <w:rsid w:val="00DB620E"/>
    <w:pPr>
      <w:spacing w:line="240" w:lineRule="auto"/>
    </w:pPr>
    <w:rPr>
      <w:b/>
      <w:bCs/>
      <w:color w:val="4F81BD" w:themeColor="accent1"/>
      <w:sz w:val="18"/>
      <w:szCs w:val="18"/>
    </w:rPr>
  </w:style>
  <w:style w:type="character" w:customStyle="1" w:styleId="Bold">
    <w:name w:val="Bold"/>
    <w:uiPriority w:val="99"/>
    <w:rsid w:val="005716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316966">
      <w:marLeft w:val="0"/>
      <w:marRight w:val="0"/>
      <w:marTop w:val="0"/>
      <w:marBottom w:val="0"/>
      <w:divBdr>
        <w:top w:val="none" w:sz="0" w:space="0" w:color="auto"/>
        <w:left w:val="none" w:sz="0" w:space="0" w:color="auto"/>
        <w:bottom w:val="none" w:sz="0" w:space="0" w:color="auto"/>
        <w:right w:val="none" w:sz="0" w:space="0" w:color="auto"/>
      </w:divBdr>
    </w:div>
    <w:div w:id="1362316967">
      <w:marLeft w:val="0"/>
      <w:marRight w:val="0"/>
      <w:marTop w:val="0"/>
      <w:marBottom w:val="0"/>
      <w:divBdr>
        <w:top w:val="none" w:sz="0" w:space="0" w:color="auto"/>
        <w:left w:val="none" w:sz="0" w:space="0" w:color="auto"/>
        <w:bottom w:val="none" w:sz="0" w:space="0" w:color="auto"/>
        <w:right w:val="none" w:sz="0" w:space="0" w:color="auto"/>
      </w:divBdr>
    </w:div>
    <w:div w:id="1362316968">
      <w:marLeft w:val="0"/>
      <w:marRight w:val="0"/>
      <w:marTop w:val="0"/>
      <w:marBottom w:val="0"/>
      <w:divBdr>
        <w:top w:val="none" w:sz="0" w:space="0" w:color="auto"/>
        <w:left w:val="none" w:sz="0" w:space="0" w:color="auto"/>
        <w:bottom w:val="none" w:sz="0" w:space="0" w:color="auto"/>
        <w:right w:val="none" w:sz="0" w:space="0" w:color="auto"/>
      </w:divBdr>
    </w:div>
    <w:div w:id="13623169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6.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0.emf"/><Relationship Id="rId112" Type="http://schemas.openxmlformats.org/officeDocument/2006/relationships/oleObject" Target="embeddings/oleObject51.bin"/><Relationship Id="rId133" Type="http://schemas.openxmlformats.org/officeDocument/2006/relationships/image" Target="media/image62.e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5.emf"/><Relationship Id="rId175" Type="http://schemas.openxmlformats.org/officeDocument/2006/relationships/image" Target="media/image83.wmf"/><Relationship Id="rId170" Type="http://schemas.openxmlformats.org/officeDocument/2006/relationships/oleObject" Target="embeddings/oleObject80.bin"/><Relationship Id="rId16" Type="http://schemas.openxmlformats.org/officeDocument/2006/relationships/oleObject" Target="embeddings/oleObject3.bin"/><Relationship Id="rId107" Type="http://schemas.openxmlformats.org/officeDocument/2006/relationships/image" Target="media/image49.emf"/><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emf"/><Relationship Id="rId102" Type="http://schemas.openxmlformats.org/officeDocument/2006/relationships/oleObject" Target="embeddings/oleObject46.bin"/><Relationship Id="rId123" Type="http://schemas.openxmlformats.org/officeDocument/2006/relationships/image" Target="media/image57.e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70.e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3.emf"/><Relationship Id="rId160" Type="http://schemas.openxmlformats.org/officeDocument/2006/relationships/oleObject" Target="embeddings/oleObject75.bin"/><Relationship Id="rId165" Type="http://schemas.openxmlformats.org/officeDocument/2006/relationships/image" Target="media/image78.emf"/><Relationship Id="rId181" Type="http://schemas.openxmlformats.org/officeDocument/2006/relationships/image" Target="media/image88.emf"/><Relationship Id="rId186" Type="http://schemas.openxmlformats.org/officeDocument/2006/relationships/theme" Target="theme/theme1.xml"/><Relationship Id="rId22" Type="http://schemas.openxmlformats.org/officeDocument/2006/relationships/oleObject" Target="embeddings/oleObject6.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5.emf"/><Relationship Id="rId80" Type="http://schemas.openxmlformats.org/officeDocument/2006/relationships/oleObject" Target="embeddings/oleObject35.bin"/><Relationship Id="rId85" Type="http://schemas.openxmlformats.org/officeDocument/2006/relationships/image" Target="media/image38.emf"/><Relationship Id="rId150" Type="http://schemas.openxmlformats.org/officeDocument/2006/relationships/oleObject" Target="embeddings/oleObject70.bin"/><Relationship Id="rId155" Type="http://schemas.openxmlformats.org/officeDocument/2006/relationships/image" Target="media/image73.emf"/><Relationship Id="rId171" Type="http://schemas.openxmlformats.org/officeDocument/2006/relationships/image" Target="media/image81.wmf"/><Relationship Id="rId176" Type="http://schemas.openxmlformats.org/officeDocument/2006/relationships/oleObject" Target="embeddings/oleObject83.bin"/><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oleObject14.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0.e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oleObject" Target="embeddings/oleObject78.bin"/><Relationship Id="rId182"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oleObject9.bin"/><Relationship Id="rId49" Type="http://schemas.openxmlformats.org/officeDocument/2006/relationships/image" Target="media/image20.emf"/><Relationship Id="rId114" Type="http://schemas.openxmlformats.org/officeDocument/2006/relationships/oleObject" Target="embeddings/oleObject52.bin"/><Relationship Id="rId119" Type="http://schemas.openxmlformats.org/officeDocument/2006/relationships/image" Target="media/image55.e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73.bin"/><Relationship Id="rId177" Type="http://schemas.openxmlformats.org/officeDocument/2006/relationships/image" Target="media/image84.emf"/><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oleObject" Target="embeddings/oleObject81.bin"/><Relationship Id="rId180" Type="http://schemas.openxmlformats.org/officeDocument/2006/relationships/image" Target="media/image87.e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emf"/><Relationship Id="rId76" Type="http://schemas.openxmlformats.org/officeDocument/2006/relationships/oleObject" Target="embeddings/oleObject33.bin"/><Relationship Id="rId97" Type="http://schemas.openxmlformats.org/officeDocument/2006/relationships/image" Target="media/image44.e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68.bin"/><Relationship Id="rId16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90.jpe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emf"/><Relationship Id="rId66" Type="http://schemas.openxmlformats.org/officeDocument/2006/relationships/oleObject" Target="embeddings/oleObject28.bin"/><Relationship Id="rId87" Type="http://schemas.openxmlformats.org/officeDocument/2006/relationships/image" Target="media/image39.emf"/><Relationship Id="rId110" Type="http://schemas.openxmlformats.org/officeDocument/2006/relationships/oleObject" Target="embeddings/oleObject50.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3.bin"/><Relationship Id="rId157" Type="http://schemas.openxmlformats.org/officeDocument/2006/relationships/image" Target="media/image74.emf"/><Relationship Id="rId178" Type="http://schemas.openxmlformats.org/officeDocument/2006/relationships/image" Target="media/image85.emf"/><Relationship Id="rId61" Type="http://schemas.openxmlformats.org/officeDocument/2006/relationships/image" Target="media/image26.emf"/><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2.wmf"/><Relationship Id="rId19" Type="http://schemas.openxmlformats.org/officeDocument/2006/relationships/image" Target="media/image5.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emf"/><Relationship Id="rId56" Type="http://schemas.openxmlformats.org/officeDocument/2006/relationships/oleObject" Target="embeddings/oleObject23.bin"/><Relationship Id="rId77" Type="http://schemas.openxmlformats.org/officeDocument/2006/relationships/image" Target="media/image34.emf"/><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oleObject" Target="embeddings/oleObject58.bin"/><Relationship Id="rId147" Type="http://schemas.openxmlformats.org/officeDocument/2006/relationships/image" Target="media/image69.emf"/><Relationship Id="rId168"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oleObject31.bin"/><Relationship Id="rId93" Type="http://schemas.openxmlformats.org/officeDocument/2006/relationships/image" Target="media/image42.emf"/><Relationship Id="rId98" Type="http://schemas.openxmlformats.org/officeDocument/2006/relationships/oleObject" Target="embeddings/oleObject44.bin"/><Relationship Id="rId121" Type="http://schemas.openxmlformats.org/officeDocument/2006/relationships/image" Target="media/image56.emf"/><Relationship Id="rId142" Type="http://schemas.openxmlformats.org/officeDocument/2006/relationships/oleObject" Target="embeddings/oleObject66.bin"/><Relationship Id="rId163" Type="http://schemas.openxmlformats.org/officeDocument/2006/relationships/image" Target="media/image77.emf"/><Relationship Id="rId184"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oleObject18.bin"/><Relationship Id="rId67" Type="http://schemas.openxmlformats.org/officeDocument/2006/relationships/image" Target="media/image29.emf"/><Relationship Id="rId116" Type="http://schemas.openxmlformats.org/officeDocument/2006/relationships/oleObject" Target="embeddings/oleObject53.bin"/><Relationship Id="rId137" Type="http://schemas.openxmlformats.org/officeDocument/2006/relationships/image" Target="media/image64.emf"/><Relationship Id="rId158" Type="http://schemas.openxmlformats.org/officeDocument/2006/relationships/oleObject" Target="embeddings/oleObject74.bin"/><Relationship Id="rId20" Type="http://schemas.openxmlformats.org/officeDocument/2006/relationships/oleObject" Target="embeddings/oleObject5.bin"/><Relationship Id="rId41" Type="http://schemas.openxmlformats.org/officeDocument/2006/relationships/image" Target="media/image16.emf"/><Relationship Id="rId62" Type="http://schemas.openxmlformats.org/officeDocument/2006/relationships/oleObject" Target="embeddings/oleObject26.bin"/><Relationship Id="rId83" Type="http://schemas.openxmlformats.org/officeDocument/2006/relationships/image" Target="media/image37.emf"/><Relationship Id="rId88" Type="http://schemas.openxmlformats.org/officeDocument/2006/relationships/oleObject" Target="embeddings/oleObject39.bin"/><Relationship Id="rId111" Type="http://schemas.openxmlformats.org/officeDocument/2006/relationships/image" Target="media/image51.emf"/><Relationship Id="rId132" Type="http://schemas.openxmlformats.org/officeDocument/2006/relationships/oleObject" Target="embeddings/oleObject61.bin"/><Relationship Id="rId153" Type="http://schemas.openxmlformats.org/officeDocument/2006/relationships/image" Target="media/image72.emf"/><Relationship Id="rId174" Type="http://schemas.openxmlformats.org/officeDocument/2006/relationships/oleObject" Target="embeddings/oleObject82.bin"/><Relationship Id="rId179" Type="http://schemas.openxmlformats.org/officeDocument/2006/relationships/image" Target="media/image86.e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emf"/><Relationship Id="rId106" Type="http://schemas.openxmlformats.org/officeDocument/2006/relationships/oleObject" Target="embeddings/oleObject48.bin"/><Relationship Id="rId127" Type="http://schemas.openxmlformats.org/officeDocument/2006/relationships/image" Target="media/image59.emf"/><Relationship Id="rId10" Type="http://schemas.openxmlformats.org/officeDocument/2006/relationships/footer" Target="footer2.xml"/><Relationship Id="rId31" Type="http://schemas.openxmlformats.org/officeDocument/2006/relationships/image" Target="media/image11.emf"/><Relationship Id="rId52" Type="http://schemas.openxmlformats.org/officeDocument/2006/relationships/oleObject" Target="embeddings/oleObject21.bin"/><Relationship Id="rId73" Type="http://schemas.openxmlformats.org/officeDocument/2006/relationships/image" Target="media/image32.e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6.bin"/><Relationship Id="rId143" Type="http://schemas.openxmlformats.org/officeDocument/2006/relationships/image" Target="media/image67.e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0.w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82D77DE-D0CF-408B-B628-7FBB94553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55897670.dotm</Template>
  <TotalTime>179</TotalTime>
  <Pages>38</Pages>
  <Words>7976</Words>
  <Characters>43094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Keith Anderson</cp:lastModifiedBy>
  <cp:revision>11</cp:revision>
  <cp:lastPrinted>2013-12-10T10:50:00Z</cp:lastPrinted>
  <dcterms:created xsi:type="dcterms:W3CDTF">2013-12-03T14:56:00Z</dcterms:created>
  <dcterms:modified xsi:type="dcterms:W3CDTF">2013-12-10T11:19:00Z</dcterms:modified>
</cp:coreProperties>
</file>