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7A" w:rsidRDefault="008B168D" w:rsidP="001476B0">
      <w:pPr>
        <w:spacing w:after="0"/>
        <w:jc w:val="center"/>
        <w:rPr>
          <w:b/>
        </w:rPr>
      </w:pPr>
      <w:r>
        <w:rPr>
          <w:b/>
        </w:rPr>
        <w:t>Guidance for planning</w:t>
      </w:r>
      <w:r w:rsidR="00D9107A">
        <w:rPr>
          <w:b/>
        </w:rPr>
        <w:t xml:space="preserve"> time</w:t>
      </w:r>
      <w:r>
        <w:rPr>
          <w:b/>
        </w:rPr>
        <w:t xml:space="preserve"> allocation </w:t>
      </w:r>
      <w:r w:rsidR="000F211D">
        <w:rPr>
          <w:b/>
        </w:rPr>
        <w:t xml:space="preserve">Teaching </w:t>
      </w:r>
      <w:r w:rsidR="00D9107A">
        <w:rPr>
          <w:b/>
        </w:rPr>
        <w:t xml:space="preserve">Associates and </w:t>
      </w:r>
      <w:r w:rsidR="002D6863">
        <w:rPr>
          <w:b/>
        </w:rPr>
        <w:t>Teaching Fellows</w:t>
      </w:r>
      <w:r w:rsidR="000F211D">
        <w:rPr>
          <w:b/>
        </w:rPr>
        <w:t xml:space="preserve"> </w:t>
      </w:r>
      <w:r w:rsidR="009A4189">
        <w:rPr>
          <w:b/>
        </w:rPr>
        <w:t xml:space="preserve">in HSS and S&amp;E </w:t>
      </w:r>
    </w:p>
    <w:p w:rsidR="00FF47E8" w:rsidRDefault="00D9107A" w:rsidP="001476B0">
      <w:pPr>
        <w:spacing w:after="0"/>
        <w:jc w:val="center"/>
        <w:rPr>
          <w:b/>
        </w:rPr>
      </w:pPr>
      <w:r>
        <w:rPr>
          <w:b/>
        </w:rPr>
        <w:t>08.06</w:t>
      </w:r>
      <w:r w:rsidR="001476B0" w:rsidRPr="001476B0">
        <w:rPr>
          <w:b/>
        </w:rPr>
        <w:t>.16</w:t>
      </w:r>
    </w:p>
    <w:p w:rsidR="00D9107A" w:rsidRDefault="00D9107A" w:rsidP="001476B0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3"/>
        <w:gridCol w:w="3923"/>
        <w:gridCol w:w="3924"/>
        <w:gridCol w:w="3924"/>
      </w:tblGrid>
      <w:tr w:rsidR="00D9107A" w:rsidTr="00AA562D">
        <w:tc>
          <w:tcPr>
            <w:tcW w:w="3923" w:type="dxa"/>
            <w:shd w:val="clear" w:color="auto" w:fill="7F7F7F" w:themeFill="text1" w:themeFillTint="80"/>
          </w:tcPr>
          <w:p w:rsidR="00D9107A" w:rsidRPr="00AA562D" w:rsidRDefault="00D9107A" w:rsidP="001476B0">
            <w:pPr>
              <w:jc w:val="center"/>
              <w:rPr>
                <w:b/>
                <w:color w:val="FFFFFF" w:themeColor="background1"/>
              </w:rPr>
            </w:pPr>
            <w:r w:rsidRPr="00AA562D">
              <w:rPr>
                <w:b/>
                <w:color w:val="FFFFFF" w:themeColor="background1"/>
              </w:rPr>
              <w:t>Activity</w:t>
            </w:r>
          </w:p>
        </w:tc>
        <w:tc>
          <w:tcPr>
            <w:tcW w:w="3923" w:type="dxa"/>
            <w:shd w:val="clear" w:color="auto" w:fill="7F7F7F" w:themeFill="text1" w:themeFillTint="80"/>
          </w:tcPr>
          <w:p w:rsidR="00D9107A" w:rsidRPr="00AA562D" w:rsidRDefault="00D9107A" w:rsidP="001476B0">
            <w:pPr>
              <w:jc w:val="center"/>
              <w:rPr>
                <w:b/>
                <w:color w:val="FFFFFF" w:themeColor="background1"/>
              </w:rPr>
            </w:pPr>
            <w:r w:rsidRPr="00AA562D">
              <w:rPr>
                <w:b/>
                <w:color w:val="FFFFFF" w:themeColor="background1"/>
              </w:rPr>
              <w:t>Teaching Associate</w:t>
            </w:r>
          </w:p>
        </w:tc>
        <w:tc>
          <w:tcPr>
            <w:tcW w:w="3924" w:type="dxa"/>
            <w:shd w:val="clear" w:color="auto" w:fill="7F7F7F" w:themeFill="text1" w:themeFillTint="80"/>
          </w:tcPr>
          <w:p w:rsidR="00D9107A" w:rsidRPr="00AA562D" w:rsidRDefault="002D6863" w:rsidP="001476B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Teaching Fellow</w:t>
            </w:r>
          </w:p>
        </w:tc>
        <w:tc>
          <w:tcPr>
            <w:tcW w:w="3924" w:type="dxa"/>
            <w:shd w:val="clear" w:color="auto" w:fill="7F7F7F" w:themeFill="text1" w:themeFillTint="80"/>
          </w:tcPr>
          <w:p w:rsidR="00D9107A" w:rsidRPr="00AA562D" w:rsidRDefault="00D9107A" w:rsidP="001476B0">
            <w:pPr>
              <w:jc w:val="center"/>
              <w:rPr>
                <w:b/>
                <w:color w:val="FFFFFF" w:themeColor="background1"/>
              </w:rPr>
            </w:pPr>
            <w:r w:rsidRPr="00AA562D">
              <w:rPr>
                <w:b/>
                <w:color w:val="FFFFFF" w:themeColor="background1"/>
              </w:rPr>
              <w:t>Comment</w:t>
            </w:r>
          </w:p>
        </w:tc>
      </w:tr>
      <w:tr w:rsidR="00D9107A" w:rsidTr="00AA562D">
        <w:tc>
          <w:tcPr>
            <w:tcW w:w="3923" w:type="dxa"/>
            <w:vAlign w:val="center"/>
          </w:tcPr>
          <w:p w:rsidR="00D9107A" w:rsidRPr="00AA562D" w:rsidRDefault="00D9107A" w:rsidP="00AA562D">
            <w:r w:rsidRPr="00AA562D">
              <w:t>Lecture delivery</w:t>
            </w:r>
          </w:p>
        </w:tc>
        <w:tc>
          <w:tcPr>
            <w:tcW w:w="3923" w:type="dxa"/>
            <w:vAlign w:val="center"/>
          </w:tcPr>
          <w:p w:rsidR="00D9107A" w:rsidRPr="00AA562D" w:rsidRDefault="00D9107A" w:rsidP="00AA562D">
            <w:pPr>
              <w:jc w:val="center"/>
            </w:pPr>
            <w:r w:rsidRPr="00AA562D">
              <w:t>n/a</w:t>
            </w:r>
          </w:p>
        </w:tc>
        <w:tc>
          <w:tcPr>
            <w:tcW w:w="3924" w:type="dxa"/>
            <w:vAlign w:val="center"/>
          </w:tcPr>
          <w:p w:rsidR="00D9107A" w:rsidRPr="00AA562D" w:rsidRDefault="00D9107A" w:rsidP="00AA562D">
            <w:pPr>
              <w:jc w:val="center"/>
            </w:pPr>
            <w:r w:rsidRPr="00AA562D">
              <w:t>1hr</w:t>
            </w:r>
          </w:p>
        </w:tc>
        <w:tc>
          <w:tcPr>
            <w:tcW w:w="3924" w:type="dxa"/>
            <w:vAlign w:val="center"/>
          </w:tcPr>
          <w:p w:rsidR="00D9107A" w:rsidRPr="00AA562D" w:rsidRDefault="00D9107A" w:rsidP="00AA562D"/>
        </w:tc>
      </w:tr>
      <w:tr w:rsidR="00D9107A" w:rsidTr="00AA562D">
        <w:tc>
          <w:tcPr>
            <w:tcW w:w="3923" w:type="dxa"/>
            <w:vAlign w:val="center"/>
          </w:tcPr>
          <w:p w:rsidR="00D9107A" w:rsidRPr="00AA562D" w:rsidRDefault="00D9107A" w:rsidP="00AA562D">
            <w:r w:rsidRPr="00AA562D">
              <w:t>Lecture prep – new</w:t>
            </w:r>
          </w:p>
        </w:tc>
        <w:tc>
          <w:tcPr>
            <w:tcW w:w="3923" w:type="dxa"/>
            <w:vAlign w:val="center"/>
          </w:tcPr>
          <w:p w:rsidR="00D9107A" w:rsidRPr="00AA562D" w:rsidRDefault="00D9107A" w:rsidP="00AA562D">
            <w:pPr>
              <w:jc w:val="center"/>
            </w:pPr>
            <w:r w:rsidRPr="00AA562D">
              <w:t>n/a</w:t>
            </w:r>
          </w:p>
        </w:tc>
        <w:tc>
          <w:tcPr>
            <w:tcW w:w="3924" w:type="dxa"/>
            <w:vAlign w:val="center"/>
          </w:tcPr>
          <w:p w:rsidR="00D9107A" w:rsidRPr="00AA562D" w:rsidRDefault="00D9107A" w:rsidP="00AA562D">
            <w:pPr>
              <w:jc w:val="center"/>
            </w:pPr>
            <w:r w:rsidRPr="00AA562D">
              <w:t>7hrs</w:t>
            </w:r>
          </w:p>
        </w:tc>
        <w:tc>
          <w:tcPr>
            <w:tcW w:w="3924" w:type="dxa"/>
            <w:vAlign w:val="center"/>
          </w:tcPr>
          <w:p w:rsidR="00D9107A" w:rsidRPr="00AA562D" w:rsidRDefault="00D9107A" w:rsidP="00AA562D">
            <w:r w:rsidRPr="00AA562D">
              <w:t>Based on a model of a 1hr lecture.  Where a lecture is 2hrs, preparation time would be in the region of 12 hrs.</w:t>
            </w:r>
          </w:p>
        </w:tc>
      </w:tr>
      <w:tr w:rsidR="00D9107A" w:rsidTr="00AA562D">
        <w:tc>
          <w:tcPr>
            <w:tcW w:w="3923" w:type="dxa"/>
            <w:vAlign w:val="center"/>
          </w:tcPr>
          <w:p w:rsidR="00D9107A" w:rsidRPr="00AA562D" w:rsidRDefault="00D9107A" w:rsidP="00AA562D">
            <w:r w:rsidRPr="00AA562D">
              <w:t>Lecture prep – repeat in same week</w:t>
            </w:r>
          </w:p>
        </w:tc>
        <w:tc>
          <w:tcPr>
            <w:tcW w:w="3923" w:type="dxa"/>
            <w:vAlign w:val="center"/>
          </w:tcPr>
          <w:p w:rsidR="00D9107A" w:rsidRPr="00AA562D" w:rsidRDefault="00D9107A" w:rsidP="00AA562D">
            <w:pPr>
              <w:jc w:val="center"/>
            </w:pPr>
            <w:r w:rsidRPr="00AA562D">
              <w:t>n/a</w:t>
            </w:r>
          </w:p>
        </w:tc>
        <w:tc>
          <w:tcPr>
            <w:tcW w:w="3924" w:type="dxa"/>
            <w:vAlign w:val="center"/>
          </w:tcPr>
          <w:p w:rsidR="00D9107A" w:rsidRPr="00AA562D" w:rsidRDefault="00D9107A" w:rsidP="00AA562D">
            <w:pPr>
              <w:jc w:val="center"/>
            </w:pPr>
            <w:r w:rsidRPr="00AA562D">
              <w:t>0hrs</w:t>
            </w:r>
          </w:p>
        </w:tc>
        <w:tc>
          <w:tcPr>
            <w:tcW w:w="3924" w:type="dxa"/>
            <w:vAlign w:val="center"/>
          </w:tcPr>
          <w:p w:rsidR="00D9107A" w:rsidRPr="00AA562D" w:rsidRDefault="00D9107A" w:rsidP="00AA562D"/>
        </w:tc>
      </w:tr>
      <w:tr w:rsidR="00D9107A" w:rsidTr="00AA562D">
        <w:tc>
          <w:tcPr>
            <w:tcW w:w="3923" w:type="dxa"/>
            <w:vAlign w:val="center"/>
          </w:tcPr>
          <w:p w:rsidR="00D9107A" w:rsidRPr="00AA562D" w:rsidRDefault="00D9107A" w:rsidP="00AA562D">
            <w:r w:rsidRPr="00AA562D">
              <w:t>Lecture prep – refresh in a new year</w:t>
            </w:r>
          </w:p>
        </w:tc>
        <w:tc>
          <w:tcPr>
            <w:tcW w:w="3923" w:type="dxa"/>
            <w:vAlign w:val="center"/>
          </w:tcPr>
          <w:p w:rsidR="00D9107A" w:rsidRPr="00AA562D" w:rsidRDefault="00D9107A" w:rsidP="00AA562D">
            <w:pPr>
              <w:jc w:val="center"/>
            </w:pPr>
            <w:r w:rsidRPr="00AA562D">
              <w:t>n/a</w:t>
            </w:r>
          </w:p>
        </w:tc>
        <w:tc>
          <w:tcPr>
            <w:tcW w:w="3924" w:type="dxa"/>
            <w:vAlign w:val="center"/>
          </w:tcPr>
          <w:p w:rsidR="00D9107A" w:rsidRPr="00AA562D" w:rsidRDefault="00D9107A" w:rsidP="00AA562D">
            <w:pPr>
              <w:jc w:val="center"/>
            </w:pPr>
            <w:r w:rsidRPr="00AA562D">
              <w:t>2hrs</w:t>
            </w:r>
          </w:p>
        </w:tc>
        <w:tc>
          <w:tcPr>
            <w:tcW w:w="3924" w:type="dxa"/>
            <w:vAlign w:val="center"/>
          </w:tcPr>
          <w:p w:rsidR="00D9107A" w:rsidRPr="00AA562D" w:rsidRDefault="00D9107A" w:rsidP="00AA562D"/>
        </w:tc>
      </w:tr>
      <w:tr w:rsidR="00A626A7" w:rsidTr="00AA562D">
        <w:tc>
          <w:tcPr>
            <w:tcW w:w="3923" w:type="dxa"/>
            <w:vAlign w:val="center"/>
          </w:tcPr>
          <w:p w:rsidR="00A626A7" w:rsidRPr="00AA562D" w:rsidRDefault="00A626A7" w:rsidP="00AA562D">
            <w:r>
              <w:t>Seminar/Tutori</w:t>
            </w:r>
            <w:bookmarkStart w:id="0" w:name="_GoBack"/>
            <w:r>
              <w:t>al</w:t>
            </w:r>
            <w:bookmarkEnd w:id="0"/>
            <w:r>
              <w:t xml:space="preserve"> delivery</w:t>
            </w:r>
          </w:p>
        </w:tc>
        <w:tc>
          <w:tcPr>
            <w:tcW w:w="3923" w:type="dxa"/>
            <w:vAlign w:val="center"/>
          </w:tcPr>
          <w:p w:rsidR="00A626A7" w:rsidRPr="00AA562D" w:rsidRDefault="00A626A7" w:rsidP="00AA562D">
            <w:pPr>
              <w:jc w:val="center"/>
            </w:pPr>
            <w:r>
              <w:t>1hr</w:t>
            </w:r>
          </w:p>
        </w:tc>
        <w:tc>
          <w:tcPr>
            <w:tcW w:w="3924" w:type="dxa"/>
            <w:vAlign w:val="center"/>
          </w:tcPr>
          <w:p w:rsidR="00A626A7" w:rsidRPr="00AA562D" w:rsidRDefault="00A626A7" w:rsidP="00AA562D">
            <w:pPr>
              <w:jc w:val="center"/>
            </w:pPr>
            <w:r>
              <w:t>1hr</w:t>
            </w:r>
          </w:p>
        </w:tc>
        <w:tc>
          <w:tcPr>
            <w:tcW w:w="3924" w:type="dxa"/>
            <w:vAlign w:val="center"/>
          </w:tcPr>
          <w:p w:rsidR="00A626A7" w:rsidRPr="00AA562D" w:rsidRDefault="00A626A7" w:rsidP="00AA562D"/>
        </w:tc>
      </w:tr>
      <w:tr w:rsidR="00D9107A" w:rsidTr="00AA562D">
        <w:tc>
          <w:tcPr>
            <w:tcW w:w="3923" w:type="dxa"/>
            <w:vAlign w:val="center"/>
          </w:tcPr>
          <w:p w:rsidR="00D9107A" w:rsidRPr="00AA562D" w:rsidRDefault="00D9107A" w:rsidP="00AA562D">
            <w:r w:rsidRPr="00AA562D">
              <w:t>Seminar/Tutorial prep – new</w:t>
            </w:r>
          </w:p>
        </w:tc>
        <w:tc>
          <w:tcPr>
            <w:tcW w:w="3923" w:type="dxa"/>
            <w:vAlign w:val="center"/>
          </w:tcPr>
          <w:p w:rsidR="00D9107A" w:rsidRPr="00AA562D" w:rsidRDefault="00D9107A" w:rsidP="00AA562D">
            <w:pPr>
              <w:jc w:val="center"/>
            </w:pPr>
            <w:r w:rsidRPr="00AA562D">
              <w:t>2 hrs prep + 1 lecture attend if necessary</w:t>
            </w:r>
          </w:p>
        </w:tc>
        <w:tc>
          <w:tcPr>
            <w:tcW w:w="3924" w:type="dxa"/>
            <w:vAlign w:val="center"/>
          </w:tcPr>
          <w:p w:rsidR="00D9107A" w:rsidRPr="00AA562D" w:rsidRDefault="00D9107A" w:rsidP="00AA562D">
            <w:pPr>
              <w:jc w:val="center"/>
            </w:pPr>
            <w:r w:rsidRPr="00AA562D">
              <w:t>2 hrs prep + 1 lecture attend if necessary</w:t>
            </w:r>
          </w:p>
        </w:tc>
        <w:tc>
          <w:tcPr>
            <w:tcW w:w="3924" w:type="dxa"/>
            <w:vAlign w:val="center"/>
          </w:tcPr>
          <w:p w:rsidR="00D9107A" w:rsidRPr="00AA562D" w:rsidRDefault="00D9107A" w:rsidP="00AA562D">
            <w:r w:rsidRPr="00AA562D">
              <w:t>Based on a model of a 1hr seminar/tutorial.</w:t>
            </w:r>
          </w:p>
        </w:tc>
      </w:tr>
      <w:tr w:rsidR="00D9107A" w:rsidTr="00AA562D">
        <w:tc>
          <w:tcPr>
            <w:tcW w:w="3923" w:type="dxa"/>
            <w:vAlign w:val="center"/>
          </w:tcPr>
          <w:p w:rsidR="00D9107A" w:rsidRPr="00AA562D" w:rsidRDefault="00D9107A" w:rsidP="00AA562D">
            <w:r w:rsidRPr="00AA562D">
              <w:t>Module leadership</w:t>
            </w:r>
          </w:p>
        </w:tc>
        <w:tc>
          <w:tcPr>
            <w:tcW w:w="3923" w:type="dxa"/>
            <w:vAlign w:val="center"/>
          </w:tcPr>
          <w:p w:rsidR="00D9107A" w:rsidRPr="00AA562D" w:rsidRDefault="00D9107A" w:rsidP="00AA562D">
            <w:pPr>
              <w:jc w:val="center"/>
            </w:pPr>
            <w:r w:rsidRPr="00AA562D">
              <w:t>n/a</w:t>
            </w:r>
          </w:p>
        </w:tc>
        <w:tc>
          <w:tcPr>
            <w:tcW w:w="3924" w:type="dxa"/>
            <w:vAlign w:val="center"/>
          </w:tcPr>
          <w:p w:rsidR="00D9107A" w:rsidRPr="00AA562D" w:rsidRDefault="00D9107A" w:rsidP="00AA562D">
            <w:pPr>
              <w:jc w:val="center"/>
            </w:pPr>
            <w:r w:rsidRPr="00AA562D">
              <w:t>1hr / mod</w:t>
            </w:r>
            <w:r w:rsidR="00AD6F21" w:rsidRPr="00AA562D">
              <w:t>ule</w:t>
            </w:r>
            <w:r w:rsidRPr="00AA562D">
              <w:t xml:space="preserve"> / week</w:t>
            </w:r>
          </w:p>
        </w:tc>
        <w:tc>
          <w:tcPr>
            <w:tcW w:w="3924" w:type="dxa"/>
            <w:vAlign w:val="center"/>
          </w:tcPr>
          <w:p w:rsidR="00D9107A" w:rsidRPr="00AA562D" w:rsidRDefault="00D9107A" w:rsidP="00AA562D"/>
        </w:tc>
      </w:tr>
      <w:tr w:rsidR="00D9107A" w:rsidTr="00AA562D">
        <w:tc>
          <w:tcPr>
            <w:tcW w:w="3923" w:type="dxa"/>
            <w:vAlign w:val="center"/>
          </w:tcPr>
          <w:p w:rsidR="00D9107A" w:rsidRPr="00AA562D" w:rsidRDefault="00D9107A" w:rsidP="00AA562D">
            <w:r w:rsidRPr="00AA562D">
              <w:t>Fieldwork</w:t>
            </w:r>
          </w:p>
        </w:tc>
        <w:tc>
          <w:tcPr>
            <w:tcW w:w="3923" w:type="dxa"/>
            <w:vAlign w:val="center"/>
          </w:tcPr>
          <w:p w:rsidR="00D9107A" w:rsidRPr="00AA562D" w:rsidRDefault="00AD6F21" w:rsidP="00AA562D">
            <w:pPr>
              <w:jc w:val="center"/>
            </w:pPr>
            <w:r w:rsidRPr="00AA562D">
              <w:t>10 hrs/day on trip + accommodation + subsistence</w:t>
            </w:r>
          </w:p>
        </w:tc>
        <w:tc>
          <w:tcPr>
            <w:tcW w:w="3924" w:type="dxa"/>
            <w:vAlign w:val="center"/>
          </w:tcPr>
          <w:p w:rsidR="00D9107A" w:rsidRPr="00AA562D" w:rsidRDefault="00AD6F21" w:rsidP="00AA562D">
            <w:pPr>
              <w:jc w:val="center"/>
            </w:pPr>
            <w:r w:rsidRPr="00AA562D">
              <w:t>10 hrs/day on trip + accommodation + subsistence</w:t>
            </w:r>
          </w:p>
        </w:tc>
        <w:tc>
          <w:tcPr>
            <w:tcW w:w="3924" w:type="dxa"/>
            <w:vAlign w:val="center"/>
          </w:tcPr>
          <w:p w:rsidR="00D9107A" w:rsidRPr="00AA562D" w:rsidRDefault="00D9107A" w:rsidP="00AA562D"/>
        </w:tc>
      </w:tr>
      <w:tr w:rsidR="00D9107A" w:rsidTr="00AA562D">
        <w:tc>
          <w:tcPr>
            <w:tcW w:w="3923" w:type="dxa"/>
            <w:vAlign w:val="center"/>
          </w:tcPr>
          <w:p w:rsidR="00D9107A" w:rsidRPr="00AA562D" w:rsidRDefault="00D9107A" w:rsidP="00AA562D">
            <w:r w:rsidRPr="00AA562D">
              <w:t>Dissertation supervision</w:t>
            </w:r>
          </w:p>
        </w:tc>
        <w:tc>
          <w:tcPr>
            <w:tcW w:w="3923" w:type="dxa"/>
            <w:vAlign w:val="center"/>
          </w:tcPr>
          <w:p w:rsidR="00D9107A" w:rsidRPr="00AA562D" w:rsidRDefault="00AD6F21" w:rsidP="00AA562D">
            <w:pPr>
              <w:jc w:val="center"/>
            </w:pPr>
            <w:r w:rsidRPr="00AA562D">
              <w:t>n/a</w:t>
            </w:r>
          </w:p>
        </w:tc>
        <w:tc>
          <w:tcPr>
            <w:tcW w:w="3924" w:type="dxa"/>
            <w:vAlign w:val="center"/>
          </w:tcPr>
          <w:p w:rsidR="00D9107A" w:rsidRPr="00AA562D" w:rsidRDefault="00AD6F21" w:rsidP="00AA562D">
            <w:pPr>
              <w:jc w:val="center"/>
            </w:pPr>
            <w:r w:rsidRPr="00AA562D">
              <w:t>11hrs/ dissertation</w:t>
            </w:r>
          </w:p>
        </w:tc>
        <w:tc>
          <w:tcPr>
            <w:tcW w:w="3924" w:type="dxa"/>
            <w:vAlign w:val="center"/>
          </w:tcPr>
          <w:p w:rsidR="00D9107A" w:rsidRPr="00AA562D" w:rsidRDefault="00D9107A" w:rsidP="00AA562D"/>
        </w:tc>
      </w:tr>
      <w:tr w:rsidR="00D9107A" w:rsidTr="00AA562D">
        <w:tc>
          <w:tcPr>
            <w:tcW w:w="3923" w:type="dxa"/>
            <w:vAlign w:val="center"/>
          </w:tcPr>
          <w:p w:rsidR="00D9107A" w:rsidRPr="00AA562D" w:rsidRDefault="00D9107A" w:rsidP="00AA562D">
            <w:r w:rsidRPr="00AA562D">
              <w:t>Office hours availability for students</w:t>
            </w:r>
          </w:p>
        </w:tc>
        <w:tc>
          <w:tcPr>
            <w:tcW w:w="3923" w:type="dxa"/>
            <w:vAlign w:val="center"/>
          </w:tcPr>
          <w:p w:rsidR="00D9107A" w:rsidRPr="00AA562D" w:rsidRDefault="009A4189" w:rsidP="00AA562D">
            <w:pPr>
              <w:jc w:val="center"/>
            </w:pPr>
            <w:r w:rsidRPr="00AA562D">
              <w:t xml:space="preserve">30 </w:t>
            </w:r>
            <w:proofErr w:type="spellStart"/>
            <w:r w:rsidRPr="00AA562D">
              <w:t>mins</w:t>
            </w:r>
            <w:proofErr w:type="spellEnd"/>
            <w:r w:rsidRPr="00AA562D">
              <w:t>/group/ week</w:t>
            </w:r>
          </w:p>
        </w:tc>
        <w:tc>
          <w:tcPr>
            <w:tcW w:w="3924" w:type="dxa"/>
            <w:vAlign w:val="center"/>
          </w:tcPr>
          <w:p w:rsidR="00D9107A" w:rsidRPr="00AA562D" w:rsidRDefault="009A4189" w:rsidP="00AA562D">
            <w:pPr>
              <w:jc w:val="center"/>
            </w:pPr>
            <w:r w:rsidRPr="00AA562D">
              <w:t xml:space="preserve">30 </w:t>
            </w:r>
            <w:proofErr w:type="spellStart"/>
            <w:r w:rsidRPr="00AA562D">
              <w:t>mins</w:t>
            </w:r>
            <w:proofErr w:type="spellEnd"/>
            <w:r w:rsidRPr="00AA562D">
              <w:t>/group/ week</w:t>
            </w:r>
          </w:p>
        </w:tc>
        <w:tc>
          <w:tcPr>
            <w:tcW w:w="3924" w:type="dxa"/>
            <w:vAlign w:val="center"/>
          </w:tcPr>
          <w:p w:rsidR="00D9107A" w:rsidRPr="00AA562D" w:rsidRDefault="00D9107A" w:rsidP="00AA562D"/>
        </w:tc>
      </w:tr>
      <w:tr w:rsidR="00D9107A" w:rsidTr="00AA562D">
        <w:tc>
          <w:tcPr>
            <w:tcW w:w="3923" w:type="dxa"/>
            <w:vAlign w:val="center"/>
          </w:tcPr>
          <w:p w:rsidR="00D9107A" w:rsidRPr="00AA562D" w:rsidRDefault="00D9107A" w:rsidP="00AA562D">
            <w:r w:rsidRPr="00AA562D">
              <w:t>Exam setting</w:t>
            </w:r>
          </w:p>
        </w:tc>
        <w:tc>
          <w:tcPr>
            <w:tcW w:w="3923" w:type="dxa"/>
            <w:vAlign w:val="center"/>
          </w:tcPr>
          <w:p w:rsidR="00D9107A" w:rsidRPr="00AA562D" w:rsidRDefault="009A4189" w:rsidP="00AA562D">
            <w:pPr>
              <w:jc w:val="center"/>
            </w:pPr>
            <w:r w:rsidRPr="00AA562D">
              <w:t>n/a</w:t>
            </w:r>
          </w:p>
        </w:tc>
        <w:tc>
          <w:tcPr>
            <w:tcW w:w="3924" w:type="dxa"/>
            <w:vAlign w:val="center"/>
          </w:tcPr>
          <w:p w:rsidR="009A4189" w:rsidRPr="00AA562D" w:rsidRDefault="009A4189" w:rsidP="00AA562D">
            <w:pPr>
              <w:jc w:val="center"/>
            </w:pPr>
            <w:r w:rsidRPr="00AA562D">
              <w:t>5hrs (MCQ)</w:t>
            </w:r>
          </w:p>
          <w:p w:rsidR="00D9107A" w:rsidRPr="00AA562D" w:rsidRDefault="009A4189" w:rsidP="00AA562D">
            <w:pPr>
              <w:jc w:val="center"/>
            </w:pPr>
            <w:r w:rsidRPr="00AA562D">
              <w:t>10hrs (paper)</w:t>
            </w:r>
          </w:p>
        </w:tc>
        <w:tc>
          <w:tcPr>
            <w:tcW w:w="3924" w:type="dxa"/>
            <w:vAlign w:val="center"/>
          </w:tcPr>
          <w:p w:rsidR="00D9107A" w:rsidRPr="00AA562D" w:rsidRDefault="00D9107A" w:rsidP="00AA562D"/>
        </w:tc>
      </w:tr>
      <w:tr w:rsidR="00D9107A" w:rsidTr="00AA562D">
        <w:tc>
          <w:tcPr>
            <w:tcW w:w="3923" w:type="dxa"/>
            <w:vAlign w:val="center"/>
          </w:tcPr>
          <w:p w:rsidR="00D9107A" w:rsidRPr="00AA562D" w:rsidRDefault="00D9107A" w:rsidP="00AA562D">
            <w:r w:rsidRPr="00AA562D">
              <w:t>Marking – exam</w:t>
            </w:r>
          </w:p>
        </w:tc>
        <w:tc>
          <w:tcPr>
            <w:tcW w:w="3923" w:type="dxa"/>
            <w:vAlign w:val="center"/>
          </w:tcPr>
          <w:p w:rsidR="00F826C0" w:rsidRDefault="009A4189" w:rsidP="00481045">
            <w:pPr>
              <w:jc w:val="center"/>
            </w:pPr>
            <w:r w:rsidRPr="00AA562D">
              <w:t>3 hr exam: 45 min</w:t>
            </w:r>
            <w:r w:rsidR="00B91AC4">
              <w:t xml:space="preserve"> / </w:t>
            </w:r>
            <w:r w:rsidRPr="00AA562D">
              <w:t>2hr exam: 30 min</w:t>
            </w:r>
            <w:r w:rsidR="00B91AC4">
              <w:t xml:space="preserve"> / </w:t>
            </w:r>
            <w:r w:rsidRPr="00AA562D">
              <w:t>1hr exam: 20 min</w:t>
            </w:r>
          </w:p>
          <w:p w:rsidR="00481045" w:rsidRPr="00481045" w:rsidRDefault="00481045" w:rsidP="00481045">
            <w:pPr>
              <w:jc w:val="center"/>
              <w:rPr>
                <w:i/>
              </w:rPr>
            </w:pPr>
            <w:r w:rsidRPr="00481045">
              <w:rPr>
                <w:i/>
              </w:rPr>
              <w:t>or</w:t>
            </w:r>
          </w:p>
          <w:p w:rsidR="00F826C0" w:rsidRDefault="00F826C0" w:rsidP="00481045">
            <w:pPr>
              <w:jc w:val="center"/>
            </w:pPr>
            <w:r>
              <w:t>12 short answers / 1 hr</w:t>
            </w:r>
          </w:p>
          <w:p w:rsidR="00481045" w:rsidRPr="00481045" w:rsidRDefault="00481045" w:rsidP="00481045">
            <w:pPr>
              <w:jc w:val="center"/>
              <w:rPr>
                <w:i/>
              </w:rPr>
            </w:pPr>
            <w:r w:rsidRPr="00481045">
              <w:rPr>
                <w:i/>
              </w:rPr>
              <w:t>and</w:t>
            </w:r>
          </w:p>
          <w:p w:rsidR="00D9107A" w:rsidRPr="00AA562D" w:rsidRDefault="009A4189" w:rsidP="00AA562D">
            <w:pPr>
              <w:jc w:val="center"/>
            </w:pPr>
            <w:r w:rsidRPr="00AA562D">
              <w:t>2</w:t>
            </w:r>
            <w:r w:rsidRPr="00AA562D">
              <w:rPr>
                <w:vertAlign w:val="superscript"/>
              </w:rPr>
              <w:t>nd</w:t>
            </w:r>
            <w:r w:rsidRPr="00AA562D">
              <w:t xml:space="preserve"> marking at 50% time allocation.</w:t>
            </w:r>
          </w:p>
        </w:tc>
        <w:tc>
          <w:tcPr>
            <w:tcW w:w="3924" w:type="dxa"/>
            <w:vAlign w:val="center"/>
          </w:tcPr>
          <w:p w:rsidR="00F826C0" w:rsidRDefault="009A4189" w:rsidP="00481045">
            <w:pPr>
              <w:jc w:val="center"/>
            </w:pPr>
            <w:r w:rsidRPr="00AA562D">
              <w:t>3 hr exam: 45 min</w:t>
            </w:r>
            <w:r w:rsidR="00B91AC4">
              <w:t xml:space="preserve"> / </w:t>
            </w:r>
            <w:r w:rsidRPr="00AA562D">
              <w:t>2hr exam: 30 min</w:t>
            </w:r>
            <w:r w:rsidR="00B91AC4">
              <w:t xml:space="preserve"> / </w:t>
            </w:r>
            <w:r w:rsidRPr="00AA562D">
              <w:t>1hr exam: 20 min</w:t>
            </w:r>
          </w:p>
          <w:p w:rsidR="00481045" w:rsidRPr="00481045" w:rsidRDefault="00481045" w:rsidP="00481045">
            <w:pPr>
              <w:jc w:val="center"/>
              <w:rPr>
                <w:i/>
              </w:rPr>
            </w:pPr>
            <w:r w:rsidRPr="00481045">
              <w:rPr>
                <w:i/>
              </w:rPr>
              <w:t>or</w:t>
            </w:r>
          </w:p>
          <w:p w:rsidR="00F826C0" w:rsidRDefault="00F826C0" w:rsidP="00481045">
            <w:pPr>
              <w:jc w:val="center"/>
            </w:pPr>
            <w:r>
              <w:t>12 short answers / 1 hr</w:t>
            </w:r>
          </w:p>
          <w:p w:rsidR="00481045" w:rsidRPr="00481045" w:rsidRDefault="00481045" w:rsidP="00481045">
            <w:pPr>
              <w:jc w:val="center"/>
              <w:rPr>
                <w:i/>
              </w:rPr>
            </w:pPr>
            <w:r w:rsidRPr="00481045">
              <w:rPr>
                <w:i/>
              </w:rPr>
              <w:t>and</w:t>
            </w:r>
          </w:p>
          <w:p w:rsidR="00D9107A" w:rsidRPr="00AA562D" w:rsidRDefault="009A4189" w:rsidP="00AA562D">
            <w:pPr>
              <w:jc w:val="center"/>
            </w:pPr>
            <w:r w:rsidRPr="00AA562D">
              <w:t>2</w:t>
            </w:r>
            <w:r w:rsidRPr="00AA562D">
              <w:rPr>
                <w:vertAlign w:val="superscript"/>
              </w:rPr>
              <w:t>nd</w:t>
            </w:r>
            <w:r w:rsidRPr="00AA562D">
              <w:t xml:space="preserve"> marking at 50% time allocation.</w:t>
            </w:r>
          </w:p>
        </w:tc>
        <w:tc>
          <w:tcPr>
            <w:tcW w:w="3924" w:type="dxa"/>
            <w:vAlign w:val="center"/>
          </w:tcPr>
          <w:p w:rsidR="00D9107A" w:rsidRPr="00AA562D" w:rsidRDefault="001A7373" w:rsidP="00AA562D">
            <w:r>
              <w:t>Estimating based on exam duration (the first measures in this cell) work reasonably well for essay-based exams.  The second measure (short answers / hr) is offered as an alternative where essay writing is not the main focus.</w:t>
            </w:r>
          </w:p>
        </w:tc>
      </w:tr>
      <w:tr w:rsidR="00D9107A" w:rsidTr="00AA562D">
        <w:tc>
          <w:tcPr>
            <w:tcW w:w="3923" w:type="dxa"/>
            <w:vAlign w:val="center"/>
          </w:tcPr>
          <w:p w:rsidR="00D9107A" w:rsidRPr="00AA562D" w:rsidRDefault="00D9107A" w:rsidP="00AA562D">
            <w:r w:rsidRPr="00AA562D">
              <w:t>Marking – non-exam / coursework</w:t>
            </w:r>
          </w:p>
        </w:tc>
        <w:tc>
          <w:tcPr>
            <w:tcW w:w="3923" w:type="dxa"/>
            <w:vAlign w:val="center"/>
          </w:tcPr>
          <w:p w:rsidR="00481045" w:rsidRDefault="009A4189" w:rsidP="00481045">
            <w:pPr>
              <w:jc w:val="center"/>
            </w:pPr>
            <w:r w:rsidRPr="00AA562D">
              <w:t>1hr/5-6,000 words</w:t>
            </w:r>
          </w:p>
          <w:p w:rsidR="00481045" w:rsidRPr="00481045" w:rsidRDefault="00481045" w:rsidP="00481045">
            <w:pPr>
              <w:jc w:val="center"/>
              <w:rPr>
                <w:i/>
              </w:rPr>
            </w:pPr>
            <w:r w:rsidRPr="00481045">
              <w:rPr>
                <w:i/>
              </w:rPr>
              <w:t>or</w:t>
            </w:r>
          </w:p>
          <w:p w:rsidR="00481045" w:rsidRDefault="00481045" w:rsidP="00481045">
            <w:pPr>
              <w:jc w:val="center"/>
            </w:pPr>
            <w:r>
              <w:t>12 problems / 1 hr</w:t>
            </w:r>
          </w:p>
          <w:p w:rsidR="00481045" w:rsidRPr="00481045" w:rsidRDefault="00481045" w:rsidP="00481045">
            <w:pPr>
              <w:jc w:val="center"/>
              <w:rPr>
                <w:i/>
              </w:rPr>
            </w:pPr>
            <w:r w:rsidRPr="00481045">
              <w:rPr>
                <w:i/>
              </w:rPr>
              <w:t>and</w:t>
            </w:r>
          </w:p>
          <w:p w:rsidR="009A4189" w:rsidRDefault="009A4189" w:rsidP="00AA562D">
            <w:pPr>
              <w:jc w:val="center"/>
            </w:pPr>
            <w:r w:rsidRPr="00AA562D">
              <w:t xml:space="preserve">1hr uploading to </w:t>
            </w:r>
            <w:proofErr w:type="spellStart"/>
            <w:r w:rsidRPr="00AA562D">
              <w:t>QMPlus</w:t>
            </w:r>
            <w:proofErr w:type="spellEnd"/>
            <w:r w:rsidRPr="00AA562D">
              <w:t xml:space="preserve"> / group</w:t>
            </w:r>
          </w:p>
          <w:p w:rsidR="00481045" w:rsidRPr="00481045" w:rsidRDefault="00481045" w:rsidP="00AA562D">
            <w:pPr>
              <w:jc w:val="center"/>
              <w:rPr>
                <w:i/>
              </w:rPr>
            </w:pPr>
            <w:r w:rsidRPr="00481045">
              <w:rPr>
                <w:i/>
              </w:rPr>
              <w:t>and</w:t>
            </w:r>
          </w:p>
          <w:p w:rsidR="00D9107A" w:rsidRDefault="009A4189" w:rsidP="00AA562D">
            <w:pPr>
              <w:jc w:val="center"/>
            </w:pPr>
            <w:r w:rsidRPr="00AA562D">
              <w:t>1hr moderation / group</w:t>
            </w:r>
          </w:p>
          <w:p w:rsidR="00481045" w:rsidRPr="00481045" w:rsidRDefault="00481045" w:rsidP="00AA562D">
            <w:pPr>
              <w:jc w:val="center"/>
              <w:rPr>
                <w:i/>
              </w:rPr>
            </w:pPr>
            <w:r w:rsidRPr="00481045">
              <w:rPr>
                <w:i/>
              </w:rPr>
              <w:t>and</w:t>
            </w:r>
          </w:p>
          <w:p w:rsidR="004319B6" w:rsidRPr="00AA562D" w:rsidRDefault="004319B6" w:rsidP="00AA562D">
            <w:pPr>
              <w:jc w:val="center"/>
            </w:pPr>
            <w:r w:rsidRPr="00AA562D">
              <w:t>2</w:t>
            </w:r>
            <w:r w:rsidRPr="00AA562D">
              <w:rPr>
                <w:vertAlign w:val="superscript"/>
              </w:rPr>
              <w:t>nd</w:t>
            </w:r>
            <w:r w:rsidRPr="00AA562D">
              <w:t xml:space="preserve"> marking at 50% time allocation.</w:t>
            </w:r>
          </w:p>
        </w:tc>
        <w:tc>
          <w:tcPr>
            <w:tcW w:w="3924" w:type="dxa"/>
            <w:vAlign w:val="center"/>
          </w:tcPr>
          <w:p w:rsidR="009A4189" w:rsidRDefault="009A4189" w:rsidP="00AA562D">
            <w:pPr>
              <w:jc w:val="center"/>
            </w:pPr>
            <w:r w:rsidRPr="00AA562D">
              <w:t>1hr/5-6,000 words</w:t>
            </w:r>
          </w:p>
          <w:p w:rsidR="00481045" w:rsidRPr="00481045" w:rsidRDefault="00481045" w:rsidP="00481045">
            <w:pPr>
              <w:jc w:val="center"/>
              <w:rPr>
                <w:i/>
              </w:rPr>
            </w:pPr>
            <w:r w:rsidRPr="00481045">
              <w:rPr>
                <w:i/>
              </w:rPr>
              <w:t>or</w:t>
            </w:r>
          </w:p>
          <w:p w:rsidR="00481045" w:rsidRDefault="00481045" w:rsidP="00481045">
            <w:pPr>
              <w:jc w:val="center"/>
            </w:pPr>
            <w:r>
              <w:t>12 problems / 1 hr</w:t>
            </w:r>
          </w:p>
          <w:p w:rsidR="00481045" w:rsidRPr="00481045" w:rsidRDefault="00481045" w:rsidP="00481045">
            <w:pPr>
              <w:jc w:val="center"/>
              <w:rPr>
                <w:i/>
              </w:rPr>
            </w:pPr>
            <w:r w:rsidRPr="00481045">
              <w:rPr>
                <w:i/>
              </w:rPr>
              <w:t>and</w:t>
            </w:r>
          </w:p>
          <w:p w:rsidR="009A4189" w:rsidRDefault="009A4189" w:rsidP="00AA562D">
            <w:pPr>
              <w:jc w:val="center"/>
            </w:pPr>
            <w:r w:rsidRPr="00AA562D">
              <w:t xml:space="preserve">1hr uploading to </w:t>
            </w:r>
            <w:proofErr w:type="spellStart"/>
            <w:r w:rsidRPr="00AA562D">
              <w:t>QMPlus</w:t>
            </w:r>
            <w:proofErr w:type="spellEnd"/>
            <w:r w:rsidRPr="00AA562D">
              <w:t xml:space="preserve"> / group</w:t>
            </w:r>
          </w:p>
          <w:p w:rsidR="00481045" w:rsidRPr="00481045" w:rsidRDefault="00481045" w:rsidP="00AA562D">
            <w:pPr>
              <w:jc w:val="center"/>
              <w:rPr>
                <w:i/>
              </w:rPr>
            </w:pPr>
            <w:r w:rsidRPr="00481045">
              <w:rPr>
                <w:i/>
              </w:rPr>
              <w:t>and</w:t>
            </w:r>
          </w:p>
          <w:p w:rsidR="00D9107A" w:rsidRDefault="009A4189" w:rsidP="00AA562D">
            <w:pPr>
              <w:jc w:val="center"/>
            </w:pPr>
            <w:r w:rsidRPr="00AA562D">
              <w:t>1hr moderation / group</w:t>
            </w:r>
          </w:p>
          <w:p w:rsidR="00481045" w:rsidRPr="00481045" w:rsidRDefault="00481045" w:rsidP="00AA562D">
            <w:pPr>
              <w:jc w:val="center"/>
              <w:rPr>
                <w:i/>
              </w:rPr>
            </w:pPr>
            <w:r w:rsidRPr="00481045">
              <w:rPr>
                <w:i/>
              </w:rPr>
              <w:t>and</w:t>
            </w:r>
          </w:p>
          <w:p w:rsidR="004319B6" w:rsidRPr="00AA562D" w:rsidRDefault="004319B6" w:rsidP="00AA562D">
            <w:pPr>
              <w:jc w:val="center"/>
            </w:pPr>
            <w:r w:rsidRPr="00AA562D">
              <w:t>2</w:t>
            </w:r>
            <w:r w:rsidRPr="00AA562D">
              <w:rPr>
                <w:vertAlign w:val="superscript"/>
              </w:rPr>
              <w:t>nd</w:t>
            </w:r>
            <w:r w:rsidRPr="00AA562D">
              <w:t xml:space="preserve"> marking at 50% time allocation.</w:t>
            </w:r>
          </w:p>
        </w:tc>
        <w:tc>
          <w:tcPr>
            <w:tcW w:w="3924" w:type="dxa"/>
            <w:vAlign w:val="center"/>
          </w:tcPr>
          <w:p w:rsidR="00D9107A" w:rsidRPr="00AA562D" w:rsidRDefault="00D9107A" w:rsidP="00AA562D"/>
        </w:tc>
      </w:tr>
      <w:tr w:rsidR="00D9107A" w:rsidTr="00AA562D">
        <w:tc>
          <w:tcPr>
            <w:tcW w:w="3923" w:type="dxa"/>
            <w:vAlign w:val="center"/>
          </w:tcPr>
          <w:p w:rsidR="00D9107A" w:rsidRPr="00AA562D" w:rsidRDefault="00D9107A" w:rsidP="00AA562D">
            <w:r w:rsidRPr="00AA562D">
              <w:lastRenderedPageBreak/>
              <w:t>Marking (practical / performance)</w:t>
            </w:r>
          </w:p>
        </w:tc>
        <w:tc>
          <w:tcPr>
            <w:tcW w:w="3923" w:type="dxa"/>
            <w:vAlign w:val="center"/>
          </w:tcPr>
          <w:p w:rsidR="004319B6" w:rsidRPr="00AA562D" w:rsidRDefault="004319B6" w:rsidP="00AA562D">
            <w:pPr>
              <w:jc w:val="center"/>
            </w:pPr>
            <w:r w:rsidRPr="00AA562D">
              <w:t>6hrs/ group</w:t>
            </w:r>
          </w:p>
          <w:p w:rsidR="00D9107A" w:rsidRPr="00AA562D" w:rsidRDefault="004319B6" w:rsidP="00AA562D">
            <w:pPr>
              <w:jc w:val="center"/>
            </w:pPr>
            <w:r w:rsidRPr="00AA562D">
              <w:t>(2-3hrs attendance+ marking)</w:t>
            </w:r>
          </w:p>
        </w:tc>
        <w:tc>
          <w:tcPr>
            <w:tcW w:w="3924" w:type="dxa"/>
            <w:vAlign w:val="center"/>
          </w:tcPr>
          <w:p w:rsidR="004319B6" w:rsidRPr="00AA562D" w:rsidRDefault="004319B6" w:rsidP="00AA562D">
            <w:pPr>
              <w:jc w:val="center"/>
            </w:pPr>
            <w:r w:rsidRPr="00AA562D">
              <w:t>6hrs/ group</w:t>
            </w:r>
          </w:p>
          <w:p w:rsidR="00D9107A" w:rsidRPr="00AA562D" w:rsidRDefault="004319B6" w:rsidP="00AA562D">
            <w:pPr>
              <w:jc w:val="center"/>
            </w:pPr>
            <w:r w:rsidRPr="00AA562D">
              <w:t>(2-3hrs attendance+ marking)</w:t>
            </w:r>
          </w:p>
        </w:tc>
        <w:tc>
          <w:tcPr>
            <w:tcW w:w="3924" w:type="dxa"/>
            <w:vAlign w:val="center"/>
          </w:tcPr>
          <w:p w:rsidR="00D9107A" w:rsidRPr="00AA562D" w:rsidRDefault="004319B6" w:rsidP="00AA562D">
            <w:r w:rsidRPr="00AA562D">
              <w:t>This estimate based on the model for Drama.  Other Schools may identify variations.</w:t>
            </w:r>
          </w:p>
        </w:tc>
      </w:tr>
      <w:tr w:rsidR="00D9107A" w:rsidTr="00AA562D">
        <w:tc>
          <w:tcPr>
            <w:tcW w:w="3923" w:type="dxa"/>
            <w:vAlign w:val="center"/>
          </w:tcPr>
          <w:p w:rsidR="00D9107A" w:rsidRPr="00AA562D" w:rsidRDefault="00D9107A" w:rsidP="00AA562D">
            <w:r w:rsidRPr="00AA562D">
              <w:t>Administration</w:t>
            </w:r>
          </w:p>
        </w:tc>
        <w:tc>
          <w:tcPr>
            <w:tcW w:w="3923" w:type="dxa"/>
            <w:vAlign w:val="center"/>
          </w:tcPr>
          <w:p w:rsidR="00D9107A" w:rsidRPr="00AA562D" w:rsidRDefault="004319B6" w:rsidP="00AA562D">
            <w:pPr>
              <w:jc w:val="center"/>
            </w:pPr>
            <w:r w:rsidRPr="00AA562D">
              <w:t>4hr/group/semester</w:t>
            </w:r>
          </w:p>
        </w:tc>
        <w:tc>
          <w:tcPr>
            <w:tcW w:w="3924" w:type="dxa"/>
            <w:vAlign w:val="center"/>
          </w:tcPr>
          <w:p w:rsidR="00D9107A" w:rsidRPr="00AA562D" w:rsidRDefault="004319B6" w:rsidP="00AA562D">
            <w:pPr>
              <w:jc w:val="center"/>
            </w:pPr>
            <w:r w:rsidRPr="00AA562D">
              <w:t>4hr/group/semester</w:t>
            </w:r>
          </w:p>
        </w:tc>
        <w:tc>
          <w:tcPr>
            <w:tcW w:w="3924" w:type="dxa"/>
            <w:vAlign w:val="center"/>
          </w:tcPr>
          <w:p w:rsidR="00D9107A" w:rsidRPr="00AA562D" w:rsidRDefault="00D9107A" w:rsidP="00AA562D"/>
        </w:tc>
      </w:tr>
      <w:tr w:rsidR="00D9107A" w:rsidTr="00AA562D">
        <w:tc>
          <w:tcPr>
            <w:tcW w:w="3923" w:type="dxa"/>
            <w:vAlign w:val="center"/>
          </w:tcPr>
          <w:p w:rsidR="00D9107A" w:rsidRPr="00AA562D" w:rsidRDefault="00D9107A" w:rsidP="00AA562D">
            <w:r w:rsidRPr="00AA562D">
              <w:t>Training/ supervision of new TA</w:t>
            </w:r>
          </w:p>
        </w:tc>
        <w:tc>
          <w:tcPr>
            <w:tcW w:w="3923" w:type="dxa"/>
            <w:vAlign w:val="center"/>
          </w:tcPr>
          <w:p w:rsidR="00D9107A" w:rsidRPr="00AA562D" w:rsidRDefault="004319B6" w:rsidP="00AA562D">
            <w:pPr>
              <w:jc w:val="center"/>
            </w:pPr>
            <w:r w:rsidRPr="00AA562D">
              <w:t>8-12hrs/ year</w:t>
            </w:r>
          </w:p>
        </w:tc>
        <w:tc>
          <w:tcPr>
            <w:tcW w:w="3924" w:type="dxa"/>
            <w:vAlign w:val="center"/>
          </w:tcPr>
          <w:p w:rsidR="00D9107A" w:rsidRPr="00AA562D" w:rsidRDefault="004319B6" w:rsidP="00AA562D">
            <w:pPr>
              <w:jc w:val="center"/>
            </w:pPr>
            <w:r w:rsidRPr="00AA562D">
              <w:t>8-12hrs/ year</w:t>
            </w:r>
          </w:p>
        </w:tc>
        <w:tc>
          <w:tcPr>
            <w:tcW w:w="3924" w:type="dxa"/>
            <w:vAlign w:val="center"/>
          </w:tcPr>
          <w:p w:rsidR="00D9107A" w:rsidRPr="00AA562D" w:rsidRDefault="00D9107A" w:rsidP="00AA562D"/>
        </w:tc>
      </w:tr>
      <w:tr w:rsidR="00D9107A" w:rsidTr="00AA562D">
        <w:tc>
          <w:tcPr>
            <w:tcW w:w="3923" w:type="dxa"/>
            <w:vAlign w:val="center"/>
          </w:tcPr>
          <w:p w:rsidR="00D9107A" w:rsidRPr="00AA562D" w:rsidRDefault="00D9107A" w:rsidP="00AA562D">
            <w:r w:rsidRPr="00AA562D">
              <w:t>Probation/ appraisal/ review</w:t>
            </w:r>
          </w:p>
        </w:tc>
        <w:tc>
          <w:tcPr>
            <w:tcW w:w="3923" w:type="dxa"/>
            <w:vAlign w:val="center"/>
          </w:tcPr>
          <w:p w:rsidR="00D9107A" w:rsidRPr="00AA562D" w:rsidRDefault="004319B6" w:rsidP="00AA562D">
            <w:pPr>
              <w:jc w:val="center"/>
            </w:pPr>
            <w:r w:rsidRPr="00AA562D">
              <w:t>1hr/ semester</w:t>
            </w:r>
          </w:p>
        </w:tc>
        <w:tc>
          <w:tcPr>
            <w:tcW w:w="3924" w:type="dxa"/>
            <w:vAlign w:val="center"/>
          </w:tcPr>
          <w:p w:rsidR="00D9107A" w:rsidRPr="00AA562D" w:rsidRDefault="004319B6" w:rsidP="00AA562D">
            <w:pPr>
              <w:jc w:val="center"/>
            </w:pPr>
            <w:r w:rsidRPr="00AA562D">
              <w:t>1hr/ semester</w:t>
            </w:r>
          </w:p>
        </w:tc>
        <w:tc>
          <w:tcPr>
            <w:tcW w:w="3924" w:type="dxa"/>
            <w:vAlign w:val="center"/>
          </w:tcPr>
          <w:p w:rsidR="00D9107A" w:rsidRPr="00AA562D" w:rsidRDefault="00D9107A" w:rsidP="00AA562D"/>
        </w:tc>
      </w:tr>
    </w:tbl>
    <w:p w:rsidR="001476B0" w:rsidRDefault="001476B0" w:rsidP="001476B0">
      <w:pPr>
        <w:spacing w:after="0"/>
      </w:pPr>
    </w:p>
    <w:p w:rsidR="00AA562D" w:rsidRDefault="00AA562D" w:rsidP="001476B0">
      <w:pPr>
        <w:spacing w:after="0"/>
        <w:rPr>
          <w:b/>
        </w:rPr>
      </w:pPr>
    </w:p>
    <w:p w:rsidR="00DB509D" w:rsidRDefault="00DB509D" w:rsidP="001476B0">
      <w:pPr>
        <w:spacing w:after="0"/>
        <w:rPr>
          <w:b/>
        </w:rPr>
      </w:pPr>
      <w:r w:rsidRPr="00DB509D">
        <w:rPr>
          <w:b/>
        </w:rPr>
        <w:t>Notes</w:t>
      </w:r>
    </w:p>
    <w:p w:rsidR="00965A0D" w:rsidRDefault="00E30F89" w:rsidP="001476B0">
      <w:pPr>
        <w:spacing w:after="0"/>
      </w:pPr>
      <w:r>
        <w:t xml:space="preserve">The above table </w:t>
      </w:r>
      <w:proofErr w:type="gramStart"/>
      <w:r>
        <w:t>is designed</w:t>
      </w:r>
      <w:proofErr w:type="gramEnd"/>
      <w:r>
        <w:t xml:space="preserve"> to be a guide </w:t>
      </w:r>
      <w:r w:rsidR="00965A0D">
        <w:t xml:space="preserve">for the 2016-17 academic year </w:t>
      </w:r>
      <w:r>
        <w:t xml:space="preserve">in support of creating a consistent experience across the population of Teaching Associates and </w:t>
      </w:r>
      <w:r w:rsidR="002D6863">
        <w:t>Teaching Fellows</w:t>
      </w:r>
      <w:r>
        <w:t xml:space="preserve">.  </w:t>
      </w:r>
      <w:r w:rsidR="00965A0D">
        <w:t>As a guide, there is nothing here which is intended to be either definitive or contractual.</w:t>
      </w:r>
    </w:p>
    <w:p w:rsidR="00965A0D" w:rsidRDefault="00965A0D" w:rsidP="001476B0">
      <w:pPr>
        <w:spacing w:after="0"/>
      </w:pPr>
    </w:p>
    <w:p w:rsidR="00965A0D" w:rsidRDefault="00965A0D" w:rsidP="001476B0">
      <w:pPr>
        <w:spacing w:after="0"/>
      </w:pPr>
      <w:r>
        <w:t>It has been created through consultation with Schools and UCU.</w:t>
      </w:r>
    </w:p>
    <w:p w:rsidR="00965A0D" w:rsidRDefault="00965A0D" w:rsidP="001476B0">
      <w:pPr>
        <w:spacing w:after="0"/>
      </w:pPr>
    </w:p>
    <w:p w:rsidR="00965A0D" w:rsidRPr="00E30F89" w:rsidRDefault="00E30F89" w:rsidP="001476B0">
      <w:pPr>
        <w:spacing w:after="0"/>
      </w:pPr>
      <w:r>
        <w:t>Where it is appropriate that Schools vary from the above, they should provide a justificatory note to HR who will maintain a central role in moderating consistency.</w:t>
      </w:r>
    </w:p>
    <w:p w:rsidR="00E30F89" w:rsidRPr="00DB509D" w:rsidRDefault="00E30F89" w:rsidP="001476B0">
      <w:pPr>
        <w:spacing w:after="0"/>
        <w:rPr>
          <w:b/>
        </w:rPr>
      </w:pPr>
    </w:p>
    <w:p w:rsidR="00FA1D30" w:rsidRPr="00FA1D30" w:rsidRDefault="00FA1D30" w:rsidP="00FA1D30">
      <w:pPr>
        <w:pStyle w:val="Title"/>
        <w:jc w:val="left"/>
        <w:rPr>
          <w:rFonts w:asciiTheme="minorHAnsi" w:hAnsiTheme="minorHAnsi" w:cs="Arial"/>
          <w:bCs/>
          <w:i/>
          <w:sz w:val="22"/>
          <w:szCs w:val="22"/>
        </w:rPr>
      </w:pPr>
      <w:r w:rsidRPr="00FA1D30">
        <w:rPr>
          <w:rFonts w:asciiTheme="minorHAnsi" w:hAnsiTheme="minorHAnsi" w:cs="Arial"/>
          <w:bCs/>
          <w:i/>
          <w:sz w:val="22"/>
          <w:szCs w:val="22"/>
        </w:rPr>
        <w:t>Variations</w:t>
      </w:r>
    </w:p>
    <w:p w:rsidR="00FA1D30" w:rsidRDefault="00FA1D30" w:rsidP="00FA1D30">
      <w:pPr>
        <w:pStyle w:val="Title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Variations to these guidelines may be appropriate in circumstances that may include:</w:t>
      </w:r>
    </w:p>
    <w:p w:rsidR="00FA1D30" w:rsidRDefault="00FA1D30" w:rsidP="00FA1D30">
      <w:pPr>
        <w:pStyle w:val="Title"/>
        <w:numPr>
          <w:ilvl w:val="0"/>
          <w:numId w:val="3"/>
        </w:numPr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 xml:space="preserve">The degree to </w:t>
      </w:r>
      <w:r w:rsidR="004319B6">
        <w:rPr>
          <w:rFonts w:asciiTheme="minorHAnsi" w:hAnsiTheme="minorHAnsi" w:cs="Arial"/>
          <w:b w:val="0"/>
          <w:bCs/>
          <w:sz w:val="22"/>
          <w:szCs w:val="22"/>
        </w:rPr>
        <w:t>which preparation is based upon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working from a blank sheet of paper against </w:t>
      </w:r>
      <w:r w:rsidR="006112DA">
        <w:rPr>
          <w:rFonts w:asciiTheme="minorHAnsi" w:hAnsiTheme="minorHAnsi" w:cs="Arial"/>
          <w:b w:val="0"/>
          <w:bCs/>
          <w:sz w:val="22"/>
          <w:szCs w:val="22"/>
        </w:rPr>
        <w:t>having more detailed guidelines and material to follow.  This could apply to lecture and seminar/tutorial preparation in particular.</w:t>
      </w:r>
    </w:p>
    <w:p w:rsidR="00C74CA8" w:rsidRDefault="006B10A3" w:rsidP="00FA1D30">
      <w:pPr>
        <w:pStyle w:val="Title"/>
        <w:numPr>
          <w:ilvl w:val="0"/>
          <w:numId w:val="3"/>
        </w:numPr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 xml:space="preserve">Different models of marking.  </w:t>
      </w:r>
      <w:r w:rsidR="00C74CA8">
        <w:rPr>
          <w:rFonts w:asciiTheme="minorHAnsi" w:hAnsiTheme="minorHAnsi" w:cs="Arial"/>
          <w:b w:val="0"/>
          <w:bCs/>
          <w:sz w:val="22"/>
          <w:szCs w:val="22"/>
        </w:rPr>
        <w:t xml:space="preserve">Marking is perhaps 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the most difficult to provide </w:t>
      </w:r>
      <w:r w:rsidR="00C74CA8">
        <w:rPr>
          <w:rFonts w:asciiTheme="minorHAnsi" w:hAnsiTheme="minorHAnsi" w:cs="Arial"/>
          <w:b w:val="0"/>
          <w:bCs/>
          <w:sz w:val="22"/>
          <w:szCs w:val="22"/>
        </w:rPr>
        <w:t>meaningful gui</w:t>
      </w:r>
      <w:r w:rsidR="004319B6">
        <w:rPr>
          <w:rFonts w:asciiTheme="minorHAnsi" w:hAnsiTheme="minorHAnsi" w:cs="Arial"/>
          <w:b w:val="0"/>
          <w:bCs/>
          <w:sz w:val="22"/>
          <w:szCs w:val="22"/>
        </w:rPr>
        <w:t>dance on.  T</w:t>
      </w:r>
      <w:r w:rsidR="0092749A">
        <w:rPr>
          <w:rFonts w:asciiTheme="minorHAnsi" w:hAnsiTheme="minorHAnsi" w:cs="Arial"/>
          <w:b w:val="0"/>
          <w:bCs/>
          <w:sz w:val="22"/>
          <w:szCs w:val="22"/>
        </w:rPr>
        <w:t>here are many different forms of assessment conducted and Schools will need to exercise individual judgement here more than over some other activities.</w:t>
      </w:r>
    </w:p>
    <w:p w:rsidR="006112DA" w:rsidRDefault="006112DA" w:rsidP="006112DA">
      <w:pPr>
        <w:pStyle w:val="Title"/>
        <w:jc w:val="left"/>
        <w:rPr>
          <w:rFonts w:asciiTheme="minorHAnsi" w:hAnsiTheme="minorHAnsi" w:cs="Arial"/>
          <w:b w:val="0"/>
          <w:bCs/>
          <w:sz w:val="22"/>
          <w:szCs w:val="22"/>
        </w:rPr>
      </w:pPr>
    </w:p>
    <w:p w:rsidR="006112DA" w:rsidRPr="006112DA" w:rsidRDefault="006112DA" w:rsidP="006112DA">
      <w:pPr>
        <w:pStyle w:val="Title"/>
        <w:jc w:val="left"/>
        <w:rPr>
          <w:rFonts w:asciiTheme="minorHAnsi" w:hAnsiTheme="minorHAnsi" w:cs="Arial"/>
          <w:bCs/>
          <w:i/>
          <w:sz w:val="22"/>
          <w:szCs w:val="22"/>
        </w:rPr>
      </w:pPr>
      <w:r w:rsidRPr="006112DA">
        <w:rPr>
          <w:rFonts w:asciiTheme="minorHAnsi" w:hAnsiTheme="minorHAnsi" w:cs="Arial"/>
          <w:bCs/>
          <w:i/>
          <w:sz w:val="22"/>
          <w:szCs w:val="22"/>
        </w:rPr>
        <w:t>Range of activities</w:t>
      </w:r>
    </w:p>
    <w:p w:rsidR="006112DA" w:rsidRDefault="006112DA" w:rsidP="006112DA">
      <w:pPr>
        <w:pStyle w:val="Title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 xml:space="preserve">The above table lists the variety of activities that Schools have indicated they engage Teaching </w:t>
      </w:r>
      <w:r w:rsidR="004319B6">
        <w:rPr>
          <w:rFonts w:asciiTheme="minorHAnsi" w:hAnsiTheme="minorHAnsi" w:cs="Arial"/>
          <w:b w:val="0"/>
          <w:bCs/>
          <w:sz w:val="22"/>
          <w:szCs w:val="22"/>
        </w:rPr>
        <w:t xml:space="preserve">Associates and </w:t>
      </w:r>
      <w:r w:rsidR="002D6863">
        <w:rPr>
          <w:rFonts w:asciiTheme="minorHAnsi" w:hAnsiTheme="minorHAnsi" w:cs="Arial"/>
          <w:b w:val="0"/>
          <w:bCs/>
          <w:sz w:val="22"/>
          <w:szCs w:val="22"/>
        </w:rPr>
        <w:t>Teaching Fellows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Arial"/>
          <w:b w:val="0"/>
          <w:bCs/>
          <w:sz w:val="22"/>
          <w:szCs w:val="22"/>
        </w:rPr>
        <w:t>for</w:t>
      </w:r>
      <w:proofErr w:type="gramEnd"/>
      <w:r>
        <w:rPr>
          <w:rFonts w:asciiTheme="minorHAnsi" w:hAnsiTheme="minorHAnsi" w:cs="Arial"/>
          <w:b w:val="0"/>
          <w:bCs/>
          <w:sz w:val="22"/>
          <w:szCs w:val="22"/>
        </w:rPr>
        <w:t xml:space="preserve">.  However, the existence of an activity above </w:t>
      </w:r>
      <w:proofErr w:type="gramStart"/>
      <w:r>
        <w:rPr>
          <w:rFonts w:asciiTheme="minorHAnsi" w:hAnsiTheme="minorHAnsi" w:cs="Arial"/>
          <w:b w:val="0"/>
          <w:bCs/>
          <w:sz w:val="22"/>
          <w:szCs w:val="22"/>
        </w:rPr>
        <w:t xml:space="preserve">does not in any way </w:t>
      </w:r>
      <w:r w:rsidR="004319B6">
        <w:rPr>
          <w:rFonts w:asciiTheme="minorHAnsi" w:hAnsiTheme="minorHAnsi" w:cs="Arial"/>
          <w:b w:val="0"/>
          <w:bCs/>
          <w:sz w:val="22"/>
          <w:szCs w:val="22"/>
        </w:rPr>
        <w:t>oblige</w:t>
      </w:r>
      <w:proofErr w:type="gramEnd"/>
      <w:r w:rsidR="004319B6">
        <w:rPr>
          <w:rFonts w:asciiTheme="minorHAnsi" w:hAnsiTheme="minorHAnsi" w:cs="Arial"/>
          <w:b w:val="0"/>
          <w:bCs/>
          <w:sz w:val="22"/>
          <w:szCs w:val="22"/>
        </w:rPr>
        <w:t xml:space="preserve"> a School to use TAs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</w:t>
      </w:r>
      <w:r w:rsidR="002D6863">
        <w:rPr>
          <w:rFonts w:asciiTheme="minorHAnsi" w:hAnsiTheme="minorHAnsi" w:cs="Arial"/>
          <w:b w:val="0"/>
          <w:bCs/>
          <w:sz w:val="22"/>
          <w:szCs w:val="22"/>
        </w:rPr>
        <w:t>and TF</w:t>
      </w:r>
      <w:r w:rsidR="004319B6">
        <w:rPr>
          <w:rFonts w:asciiTheme="minorHAnsi" w:hAnsiTheme="minorHAnsi" w:cs="Arial"/>
          <w:b w:val="0"/>
          <w:bCs/>
          <w:sz w:val="22"/>
          <w:szCs w:val="22"/>
        </w:rPr>
        <w:t xml:space="preserve">s 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for that activity.  For example, some Schools organise administration activities making </w:t>
      </w:r>
      <w:r w:rsidR="004319B6">
        <w:rPr>
          <w:rFonts w:asciiTheme="minorHAnsi" w:hAnsiTheme="minorHAnsi" w:cs="Arial"/>
          <w:b w:val="0"/>
          <w:bCs/>
          <w:sz w:val="22"/>
          <w:szCs w:val="22"/>
        </w:rPr>
        <w:t>little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use of TAs</w:t>
      </w:r>
      <w:r w:rsidR="002D6863">
        <w:rPr>
          <w:rFonts w:asciiTheme="minorHAnsi" w:hAnsiTheme="minorHAnsi" w:cs="Arial"/>
          <w:b w:val="0"/>
          <w:bCs/>
          <w:sz w:val="22"/>
          <w:szCs w:val="22"/>
        </w:rPr>
        <w:t xml:space="preserve"> and TF</w:t>
      </w:r>
      <w:r w:rsidR="004319B6">
        <w:rPr>
          <w:rFonts w:asciiTheme="minorHAnsi" w:hAnsiTheme="minorHAnsi" w:cs="Arial"/>
          <w:b w:val="0"/>
          <w:bCs/>
          <w:sz w:val="22"/>
          <w:szCs w:val="22"/>
        </w:rPr>
        <w:t>s and relying on other administrative staff instead</w:t>
      </w:r>
      <w:r>
        <w:rPr>
          <w:rFonts w:asciiTheme="minorHAnsi" w:hAnsiTheme="minorHAnsi" w:cs="Arial"/>
          <w:b w:val="0"/>
          <w:bCs/>
          <w:sz w:val="22"/>
          <w:szCs w:val="22"/>
        </w:rPr>
        <w:t>.</w:t>
      </w:r>
    </w:p>
    <w:p w:rsidR="006112DA" w:rsidRDefault="006112DA" w:rsidP="006112DA">
      <w:pPr>
        <w:pStyle w:val="Title"/>
        <w:jc w:val="left"/>
        <w:rPr>
          <w:rFonts w:asciiTheme="minorHAnsi" w:hAnsiTheme="minorHAnsi" w:cs="Arial"/>
          <w:b w:val="0"/>
          <w:bCs/>
          <w:sz w:val="22"/>
          <w:szCs w:val="22"/>
        </w:rPr>
      </w:pPr>
    </w:p>
    <w:p w:rsidR="006112DA" w:rsidRPr="00DB509D" w:rsidRDefault="006112DA" w:rsidP="006112DA">
      <w:pPr>
        <w:pStyle w:val="Title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 xml:space="preserve">However, </w:t>
      </w:r>
      <w:r w:rsidR="004319B6">
        <w:rPr>
          <w:rFonts w:asciiTheme="minorHAnsi" w:hAnsiTheme="minorHAnsi" w:cs="Arial"/>
          <w:b w:val="0"/>
          <w:bCs/>
          <w:sz w:val="22"/>
          <w:szCs w:val="22"/>
        </w:rPr>
        <w:t xml:space="preserve">where 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activities </w:t>
      </w:r>
      <w:r w:rsidR="004319B6">
        <w:rPr>
          <w:rFonts w:asciiTheme="minorHAnsi" w:hAnsiTheme="minorHAnsi" w:cs="Arial"/>
          <w:b w:val="0"/>
          <w:bCs/>
          <w:sz w:val="22"/>
          <w:szCs w:val="22"/>
        </w:rPr>
        <w:t xml:space="preserve">are </w:t>
      </w:r>
      <w:r>
        <w:rPr>
          <w:rFonts w:asciiTheme="minorHAnsi" w:hAnsiTheme="minorHAnsi" w:cs="Arial"/>
          <w:b w:val="0"/>
          <w:bCs/>
          <w:sz w:val="22"/>
          <w:szCs w:val="22"/>
        </w:rPr>
        <w:t>designed to benefit TAs</w:t>
      </w:r>
      <w:r w:rsidR="002D6863">
        <w:rPr>
          <w:rFonts w:asciiTheme="minorHAnsi" w:hAnsiTheme="minorHAnsi" w:cs="Arial"/>
          <w:b w:val="0"/>
          <w:bCs/>
          <w:sz w:val="22"/>
          <w:szCs w:val="22"/>
        </w:rPr>
        <w:t xml:space="preserve">/TFs </w:t>
      </w:r>
      <w:r>
        <w:rPr>
          <w:rFonts w:asciiTheme="minorHAnsi" w:hAnsiTheme="minorHAnsi" w:cs="Arial"/>
          <w:b w:val="0"/>
          <w:bCs/>
          <w:sz w:val="22"/>
          <w:szCs w:val="22"/>
        </w:rPr>
        <w:t>and their delivery (e.g. training)</w:t>
      </w:r>
      <w:r w:rsidR="004319B6">
        <w:rPr>
          <w:rFonts w:asciiTheme="minorHAnsi" w:hAnsiTheme="minorHAnsi" w:cs="Arial"/>
          <w:b w:val="0"/>
          <w:bCs/>
          <w:sz w:val="22"/>
          <w:szCs w:val="22"/>
        </w:rPr>
        <w:t>, it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would generally be expected t</w:t>
      </w:r>
      <w:r w:rsidR="004319B6">
        <w:rPr>
          <w:rFonts w:asciiTheme="minorHAnsi" w:hAnsiTheme="minorHAnsi" w:cs="Arial"/>
          <w:b w:val="0"/>
          <w:bCs/>
          <w:sz w:val="22"/>
          <w:szCs w:val="22"/>
        </w:rPr>
        <w:t xml:space="preserve">hat 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provision </w:t>
      </w:r>
      <w:r w:rsidR="004319B6">
        <w:rPr>
          <w:rFonts w:asciiTheme="minorHAnsi" w:hAnsiTheme="minorHAnsi" w:cs="Arial"/>
          <w:b w:val="0"/>
          <w:bCs/>
          <w:sz w:val="22"/>
          <w:szCs w:val="22"/>
        </w:rPr>
        <w:t xml:space="preserve">is </w:t>
      </w:r>
      <w:r>
        <w:rPr>
          <w:rFonts w:asciiTheme="minorHAnsi" w:hAnsiTheme="minorHAnsi" w:cs="Arial"/>
          <w:b w:val="0"/>
          <w:bCs/>
          <w:sz w:val="22"/>
          <w:szCs w:val="22"/>
        </w:rPr>
        <w:t>made.</w:t>
      </w:r>
    </w:p>
    <w:sectPr w:rsidR="006112DA" w:rsidRPr="00DB509D" w:rsidSect="004B1D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68D" w:rsidRDefault="008B168D" w:rsidP="008B168D">
      <w:pPr>
        <w:spacing w:after="0" w:line="240" w:lineRule="auto"/>
      </w:pPr>
      <w:r>
        <w:separator/>
      </w:r>
    </w:p>
  </w:endnote>
  <w:endnote w:type="continuationSeparator" w:id="0">
    <w:p w:rsidR="008B168D" w:rsidRDefault="008B168D" w:rsidP="008B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8D" w:rsidRDefault="008B16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8D" w:rsidRDefault="008B16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8D" w:rsidRDefault="008B1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68D" w:rsidRDefault="008B168D" w:rsidP="008B168D">
      <w:pPr>
        <w:spacing w:after="0" w:line="240" w:lineRule="auto"/>
      </w:pPr>
      <w:r>
        <w:separator/>
      </w:r>
    </w:p>
  </w:footnote>
  <w:footnote w:type="continuationSeparator" w:id="0">
    <w:p w:rsidR="008B168D" w:rsidRDefault="008B168D" w:rsidP="008B1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8D" w:rsidRDefault="008B16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8D" w:rsidRDefault="008B16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8D" w:rsidRDefault="008B16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E1F80"/>
    <w:multiLevelType w:val="hybridMultilevel"/>
    <w:tmpl w:val="66F09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60165"/>
    <w:multiLevelType w:val="hybridMultilevel"/>
    <w:tmpl w:val="4A9A8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A7B62"/>
    <w:multiLevelType w:val="hybridMultilevel"/>
    <w:tmpl w:val="40B25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B0"/>
    <w:rsid w:val="000304EC"/>
    <w:rsid w:val="00050A0C"/>
    <w:rsid w:val="00074015"/>
    <w:rsid w:val="00074328"/>
    <w:rsid w:val="00084838"/>
    <w:rsid w:val="00086944"/>
    <w:rsid w:val="0008734B"/>
    <w:rsid w:val="000A5BB8"/>
    <w:rsid w:val="000D7355"/>
    <w:rsid w:val="000F211D"/>
    <w:rsid w:val="00134CA0"/>
    <w:rsid w:val="00137DFE"/>
    <w:rsid w:val="00142B7A"/>
    <w:rsid w:val="001476B0"/>
    <w:rsid w:val="00150266"/>
    <w:rsid w:val="001A2097"/>
    <w:rsid w:val="001A7373"/>
    <w:rsid w:val="001C329D"/>
    <w:rsid w:val="001E1873"/>
    <w:rsid w:val="002A563F"/>
    <w:rsid w:val="002C34C5"/>
    <w:rsid w:val="002D6863"/>
    <w:rsid w:val="002E736A"/>
    <w:rsid w:val="00347FA5"/>
    <w:rsid w:val="00381EE6"/>
    <w:rsid w:val="00394F25"/>
    <w:rsid w:val="00396575"/>
    <w:rsid w:val="00396B67"/>
    <w:rsid w:val="003B770B"/>
    <w:rsid w:val="003B784A"/>
    <w:rsid w:val="004319B6"/>
    <w:rsid w:val="00433CC5"/>
    <w:rsid w:val="00441661"/>
    <w:rsid w:val="004459B4"/>
    <w:rsid w:val="00447FD3"/>
    <w:rsid w:val="00453AD4"/>
    <w:rsid w:val="0048075B"/>
    <w:rsid w:val="00481045"/>
    <w:rsid w:val="004A5964"/>
    <w:rsid w:val="004B1DFA"/>
    <w:rsid w:val="005274A4"/>
    <w:rsid w:val="005728AF"/>
    <w:rsid w:val="00586A13"/>
    <w:rsid w:val="005932E8"/>
    <w:rsid w:val="005959FB"/>
    <w:rsid w:val="00606268"/>
    <w:rsid w:val="00606E5C"/>
    <w:rsid w:val="006112DA"/>
    <w:rsid w:val="006B10A3"/>
    <w:rsid w:val="006D68F1"/>
    <w:rsid w:val="006E55FB"/>
    <w:rsid w:val="0070041B"/>
    <w:rsid w:val="00740CCF"/>
    <w:rsid w:val="00741256"/>
    <w:rsid w:val="00792E89"/>
    <w:rsid w:val="007B3526"/>
    <w:rsid w:val="007C05F7"/>
    <w:rsid w:val="0084723A"/>
    <w:rsid w:val="008748CA"/>
    <w:rsid w:val="008854EC"/>
    <w:rsid w:val="008A6978"/>
    <w:rsid w:val="008B168D"/>
    <w:rsid w:val="008B6EB0"/>
    <w:rsid w:val="008F4762"/>
    <w:rsid w:val="00924E0F"/>
    <w:rsid w:val="0092749A"/>
    <w:rsid w:val="00935304"/>
    <w:rsid w:val="00965A0D"/>
    <w:rsid w:val="00990422"/>
    <w:rsid w:val="009A4189"/>
    <w:rsid w:val="009B0252"/>
    <w:rsid w:val="009D27CB"/>
    <w:rsid w:val="00A43ED9"/>
    <w:rsid w:val="00A626A7"/>
    <w:rsid w:val="00AA49DA"/>
    <w:rsid w:val="00AA562D"/>
    <w:rsid w:val="00AA5E5F"/>
    <w:rsid w:val="00AD03EC"/>
    <w:rsid w:val="00AD6F21"/>
    <w:rsid w:val="00B037D9"/>
    <w:rsid w:val="00B269CC"/>
    <w:rsid w:val="00B91AC4"/>
    <w:rsid w:val="00B9218A"/>
    <w:rsid w:val="00BA07EE"/>
    <w:rsid w:val="00BD41DE"/>
    <w:rsid w:val="00C05085"/>
    <w:rsid w:val="00C11734"/>
    <w:rsid w:val="00C16D94"/>
    <w:rsid w:val="00C74CA8"/>
    <w:rsid w:val="00C84A19"/>
    <w:rsid w:val="00C94151"/>
    <w:rsid w:val="00CA27CA"/>
    <w:rsid w:val="00CA71AD"/>
    <w:rsid w:val="00CE372E"/>
    <w:rsid w:val="00D33CF6"/>
    <w:rsid w:val="00D719BD"/>
    <w:rsid w:val="00D9107A"/>
    <w:rsid w:val="00DB509D"/>
    <w:rsid w:val="00DB733A"/>
    <w:rsid w:val="00E20815"/>
    <w:rsid w:val="00E30F89"/>
    <w:rsid w:val="00E62FB1"/>
    <w:rsid w:val="00E858E4"/>
    <w:rsid w:val="00EA0E0E"/>
    <w:rsid w:val="00F25BE2"/>
    <w:rsid w:val="00F6031D"/>
    <w:rsid w:val="00F71F8C"/>
    <w:rsid w:val="00F826C0"/>
    <w:rsid w:val="00FA1D30"/>
    <w:rsid w:val="00FF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F8995F"/>
  <w15:chartTrackingRefBased/>
  <w15:docId w15:val="{DA8B3371-D7EE-4D79-BA2E-1E673CEF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6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5BE2"/>
    <w:pPr>
      <w:ind w:left="720"/>
      <w:contextualSpacing/>
    </w:pPr>
  </w:style>
  <w:style w:type="paragraph" w:styleId="Title">
    <w:name w:val="Title"/>
    <w:basedOn w:val="Normal"/>
    <w:link w:val="TitleChar"/>
    <w:qFormat/>
    <w:rsid w:val="00DB509D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B509D"/>
    <w:rPr>
      <w:rFonts w:ascii="Arial" w:eastAsia="Times New Roman" w:hAnsi="Arial" w:cs="Times New Roman"/>
      <w:b/>
      <w:sz w:val="28"/>
      <w:szCs w:val="20"/>
    </w:rPr>
  </w:style>
  <w:style w:type="character" w:styleId="Hyperlink">
    <w:name w:val="Hyperlink"/>
    <w:rsid w:val="00DB509D"/>
    <w:rPr>
      <w:rFonts w:ascii="Arial" w:hAnsi="Arial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1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68D"/>
  </w:style>
  <w:style w:type="paragraph" w:styleId="Footer">
    <w:name w:val="footer"/>
    <w:basedOn w:val="Normal"/>
    <w:link w:val="FooterChar"/>
    <w:uiPriority w:val="99"/>
    <w:unhideWhenUsed/>
    <w:rsid w:val="008B1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Nida</dc:creator>
  <cp:keywords/>
  <dc:description/>
  <cp:lastModifiedBy>Lee McNally</cp:lastModifiedBy>
  <cp:revision>4</cp:revision>
  <cp:lastPrinted>2016-06-08T09:12:00Z</cp:lastPrinted>
  <dcterms:created xsi:type="dcterms:W3CDTF">2016-06-28T08:11:00Z</dcterms:created>
  <dcterms:modified xsi:type="dcterms:W3CDTF">2018-04-24T12:36:00Z</dcterms:modified>
</cp:coreProperties>
</file>